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972" w:rsidRPr="006D7C3E" w:rsidRDefault="00282594" w:rsidP="009D7A64">
      <w:pPr>
        <w:jc w:val="right"/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</w:pPr>
      <w:r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                                                   </w:t>
      </w:r>
    </w:p>
    <w:p w:rsidR="00336A55" w:rsidRPr="006D7C3E" w:rsidRDefault="00282594" w:rsidP="009D7A64">
      <w:pPr>
        <w:jc w:val="right"/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</w:pPr>
      <w:proofErr w:type="gramStart"/>
      <w:r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>П</w:t>
      </w:r>
      <w:proofErr w:type="gramEnd"/>
      <w:r w:rsidR="0033408F" w:rsidRP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</w:t>
      </w:r>
      <w:r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>Р</w:t>
      </w:r>
      <w:r w:rsidR="0033408F" w:rsidRP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</w:t>
      </w:r>
      <w:r w:rsidR="00336A55"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>Е</w:t>
      </w:r>
      <w:r w:rsidR="0033408F" w:rsidRP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</w:t>
      </w:r>
      <w:r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  <w:lang w:val="en-US"/>
        </w:rPr>
        <w:t>C</w:t>
      </w:r>
      <w:r w:rsidR="0033408F" w:rsidRP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</w:t>
      </w:r>
      <w:r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  <w:lang w:val="en-US"/>
        </w:rPr>
        <w:t>C</w:t>
      </w:r>
      <w:r w:rsidR="0033408F" w:rsidRP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</w:t>
      </w:r>
      <w:r w:rsid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>–</w:t>
      </w:r>
      <w:r w:rsidR="0033408F" w:rsidRP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</w:t>
      </w:r>
      <w:r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>Р</w:t>
      </w:r>
      <w:r w:rsidR="0033408F" w:rsidRP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</w:t>
      </w:r>
      <w:r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>Е</w:t>
      </w:r>
      <w:r w:rsidR="0033408F" w:rsidRP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</w:t>
      </w:r>
      <w:r w:rsidR="00336A55"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>Л</w:t>
      </w:r>
      <w:r w:rsidR="0033408F" w:rsidRP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</w:t>
      </w:r>
      <w:r w:rsidR="00336A55"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>И</w:t>
      </w:r>
      <w:r w:rsidR="0033408F" w:rsidRPr="0033408F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 xml:space="preserve"> </w:t>
      </w:r>
      <w:r w:rsidR="00336A55" w:rsidRPr="009D7A64"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  <w:t>З</w:t>
      </w:r>
    </w:p>
    <w:p w:rsidR="005A1972" w:rsidRPr="006D7C3E" w:rsidRDefault="005A1972" w:rsidP="009D7A64">
      <w:pPr>
        <w:jc w:val="right"/>
        <w:rPr>
          <w:rFonts w:asciiTheme="minorHAnsi" w:eastAsia="Times New Roman" w:hAnsiTheme="minorHAnsi" w:cs="Times New Roman"/>
          <w:b/>
          <w:bCs/>
          <w:color w:val="auto"/>
          <w:sz w:val="28"/>
          <w:szCs w:val="28"/>
        </w:rPr>
      </w:pPr>
    </w:p>
    <w:p w:rsidR="00F67BAD" w:rsidRPr="009D7A64" w:rsidRDefault="00F67BAD" w:rsidP="006515F2">
      <w:pPr>
        <w:ind w:left="6372" w:firstLine="708"/>
        <w:jc w:val="both"/>
        <w:rPr>
          <w:rFonts w:asciiTheme="minorHAnsi" w:eastAsia="Times New Roman" w:hAnsiTheme="minorHAnsi" w:cs="Times New Roman"/>
          <w:b/>
          <w:bCs/>
          <w:color w:val="auto"/>
          <w:sz w:val="26"/>
          <w:szCs w:val="26"/>
        </w:rPr>
      </w:pPr>
    </w:p>
    <w:p w:rsidR="0095372C" w:rsidRPr="006D7C3E" w:rsidRDefault="0030549F" w:rsidP="00BC6760">
      <w:pPr>
        <w:jc w:val="center"/>
        <w:rPr>
          <w:rFonts w:asciiTheme="minorHAnsi" w:eastAsia="Times New Roman" w:hAnsiTheme="minorHAnsi" w:cs="Times New Roman"/>
          <w:b/>
          <w:color w:val="auto"/>
          <w:sz w:val="26"/>
          <w:szCs w:val="26"/>
        </w:rPr>
      </w:pPr>
      <w:r w:rsidRPr="0074400E">
        <w:rPr>
          <w:rFonts w:asciiTheme="minorHAnsi" w:eastAsia="Times New Roman" w:hAnsiTheme="minorHAnsi" w:cs="Times New Roman"/>
          <w:b/>
          <w:color w:val="auto"/>
          <w:sz w:val="26"/>
          <w:szCs w:val="26"/>
        </w:rPr>
        <w:t>В</w:t>
      </w:r>
      <w:r w:rsidR="00BC6760" w:rsidRPr="0074400E">
        <w:rPr>
          <w:rFonts w:asciiTheme="minorHAnsi" w:eastAsia="Times New Roman" w:hAnsiTheme="minorHAnsi" w:cs="Times New Roman"/>
          <w:b/>
          <w:color w:val="auto"/>
          <w:sz w:val="26"/>
          <w:szCs w:val="26"/>
        </w:rPr>
        <w:t>заимодействи</w:t>
      </w:r>
      <w:r w:rsidRPr="0074400E">
        <w:rPr>
          <w:rFonts w:asciiTheme="minorHAnsi" w:eastAsia="Times New Roman" w:hAnsiTheme="minorHAnsi" w:cs="Times New Roman"/>
          <w:b/>
          <w:color w:val="auto"/>
          <w:sz w:val="26"/>
          <w:szCs w:val="26"/>
        </w:rPr>
        <w:t>е</w:t>
      </w:r>
      <w:r w:rsidR="00BC6760" w:rsidRPr="0074400E">
        <w:rPr>
          <w:rFonts w:asciiTheme="minorHAnsi" w:eastAsia="Times New Roman" w:hAnsiTheme="minorHAnsi" w:cs="Times New Roman"/>
          <w:b/>
          <w:color w:val="auto"/>
          <w:sz w:val="26"/>
          <w:szCs w:val="26"/>
        </w:rPr>
        <w:t xml:space="preserve"> представителей фармацевтических компаний </w:t>
      </w:r>
      <w:r w:rsidR="009D7A64" w:rsidRPr="0074400E">
        <w:rPr>
          <w:rFonts w:asciiTheme="minorHAnsi" w:eastAsia="Times New Roman" w:hAnsiTheme="minorHAnsi" w:cs="Times New Roman"/>
          <w:b/>
          <w:color w:val="auto"/>
          <w:sz w:val="26"/>
          <w:szCs w:val="26"/>
        </w:rPr>
        <w:t>и</w:t>
      </w:r>
      <w:r w:rsidR="00BC6760" w:rsidRPr="0074400E">
        <w:rPr>
          <w:rFonts w:asciiTheme="minorHAnsi" w:eastAsia="Times New Roman" w:hAnsiTheme="minorHAnsi" w:cs="Times New Roman"/>
          <w:b/>
          <w:color w:val="auto"/>
          <w:sz w:val="26"/>
          <w:szCs w:val="26"/>
        </w:rPr>
        <w:t xml:space="preserve"> специалистов сферы здравоохранения</w:t>
      </w:r>
      <w:r w:rsidRPr="0074400E">
        <w:rPr>
          <w:rFonts w:asciiTheme="minorHAnsi" w:eastAsia="Times New Roman" w:hAnsiTheme="minorHAnsi" w:cs="Times New Roman"/>
          <w:b/>
          <w:color w:val="auto"/>
          <w:sz w:val="26"/>
          <w:szCs w:val="26"/>
        </w:rPr>
        <w:t xml:space="preserve"> должно происходить в правовом поле</w:t>
      </w:r>
    </w:p>
    <w:p w:rsidR="005A1972" w:rsidRPr="006D7C3E" w:rsidRDefault="005A1972" w:rsidP="00BC6760">
      <w:pPr>
        <w:jc w:val="center"/>
        <w:rPr>
          <w:rFonts w:asciiTheme="minorHAnsi" w:eastAsia="Times New Roman" w:hAnsiTheme="minorHAnsi" w:cs="Times New Roman"/>
          <w:b/>
          <w:color w:val="auto"/>
          <w:sz w:val="26"/>
          <w:szCs w:val="26"/>
        </w:rPr>
      </w:pPr>
    </w:p>
    <w:p w:rsidR="00BC6760" w:rsidRPr="00DD318C" w:rsidRDefault="00BC6760" w:rsidP="006515F2">
      <w:pPr>
        <w:rPr>
          <w:rFonts w:asciiTheme="minorHAnsi" w:eastAsia="Times New Roman" w:hAnsiTheme="minorHAnsi" w:cs="Times New Roman"/>
          <w:b/>
          <w:color w:val="auto"/>
          <w:sz w:val="23"/>
          <w:szCs w:val="23"/>
        </w:rPr>
      </w:pPr>
    </w:p>
    <w:p w:rsidR="00336A55" w:rsidRPr="0074400E" w:rsidRDefault="003E253C" w:rsidP="006515F2">
      <w:pPr>
        <w:jc w:val="both"/>
        <w:rPr>
          <w:rFonts w:asciiTheme="minorHAnsi" w:eastAsia="Times New Roman" w:hAnsiTheme="minorHAnsi" w:cs="Times New Roman"/>
          <w:b/>
          <w:bCs/>
          <w:i/>
          <w:color w:val="auto"/>
          <w:sz w:val="24"/>
          <w:szCs w:val="24"/>
        </w:rPr>
      </w:pPr>
      <w:r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25 апреля 2012 года, Москва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. </w:t>
      </w:r>
      <w:r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Институт законодательства и сравнительного правоведения при Правительстве РФ </w:t>
      </w:r>
      <w:r w:rsidR="00756B76"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представ</w:t>
      </w:r>
      <w:r w:rsidR="00E85D20"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ляе</w:t>
      </w:r>
      <w:r w:rsidR="00A25F56"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т</w:t>
      </w:r>
      <w:r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 результаты правового заключения</w:t>
      </w:r>
      <w:r w:rsidR="0044442E"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 на тему «Правовые аспекты взаимодействия представителей фармацевтических компаний и специалистов сферы здравоохранения</w:t>
      </w:r>
      <w:r w:rsidR="00756B76"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»</w:t>
      </w:r>
      <w:r w:rsidR="006D7C3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, которое б</w:t>
      </w:r>
      <w:r w:rsidR="00534D58"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ыло </w:t>
      </w:r>
      <w:r w:rsidR="00BC6760"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подготовлено</w:t>
      </w:r>
      <w:r w:rsidR="00534D58"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 при поддержке Ассоциации международных фармацевтических производителей (AIPM).</w:t>
      </w:r>
    </w:p>
    <w:p w:rsidR="003719E9" w:rsidRPr="00DD318C" w:rsidRDefault="003719E9" w:rsidP="006515F2">
      <w:pPr>
        <w:jc w:val="both"/>
        <w:rPr>
          <w:rFonts w:asciiTheme="minorHAnsi" w:eastAsia="Times New Roman" w:hAnsiTheme="minorHAnsi" w:cs="Times New Roman"/>
          <w:b/>
          <w:bCs/>
          <w:i/>
          <w:color w:val="auto"/>
          <w:sz w:val="23"/>
          <w:szCs w:val="23"/>
        </w:rPr>
      </w:pPr>
    </w:p>
    <w:p w:rsidR="003719E9" w:rsidRPr="0074400E" w:rsidRDefault="003719E9" w:rsidP="006515F2">
      <w:pPr>
        <w:jc w:val="both"/>
        <w:rPr>
          <w:rFonts w:asciiTheme="minorHAnsi" w:eastAsia="Times New Roman" w:hAnsiTheme="minorHAnsi" w:cs="Times New Roman"/>
          <w:color w:val="auto"/>
          <w:sz w:val="24"/>
          <w:szCs w:val="24"/>
        </w:rPr>
      </w:pP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Федеральный закон «Об основах охраны здоровья граждан в Российской Федерации»</w:t>
      </w:r>
      <w:r w:rsidR="00BC676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(ст. 74) 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регламентирует взаимоотношения врачебного сообщества и представителей</w:t>
      </w:r>
      <w:r w:rsidR="00D7209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фармацевтических компаний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. </w:t>
      </w:r>
      <w:r w:rsidR="00BC676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Прошедши</w:t>
      </w:r>
      <w:r w:rsidR="0074400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й</w:t>
      </w:r>
      <w:r w:rsidR="00BC676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74400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период</w:t>
      </w:r>
      <w:r w:rsidR="00BC676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с момента вступления </w:t>
      </w:r>
      <w:r w:rsidR="006D7C3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указанной </w:t>
      </w:r>
      <w:r w:rsidR="00BC676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статьи в силу </w:t>
      </w:r>
      <w:proofErr w:type="gramStart"/>
      <w:r w:rsidR="00BC676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продемонстрировал отсутствие единства в ее толковании</w:t>
      </w:r>
      <w:r w:rsidR="00D7209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и вызвал</w:t>
      </w:r>
      <w:proofErr w:type="gramEnd"/>
      <w:r w:rsidR="00D7209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немалое количество споров и разногласий</w:t>
      </w:r>
      <w:r w:rsidR="00BC676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. </w:t>
      </w:r>
    </w:p>
    <w:p w:rsidR="003719E9" w:rsidRPr="00DD318C" w:rsidRDefault="003719E9" w:rsidP="006515F2">
      <w:pPr>
        <w:jc w:val="both"/>
        <w:rPr>
          <w:rFonts w:asciiTheme="minorHAnsi" w:eastAsia="Times New Roman" w:hAnsiTheme="minorHAnsi" w:cs="Times New Roman"/>
          <w:color w:val="auto"/>
          <w:sz w:val="12"/>
          <w:szCs w:val="12"/>
        </w:rPr>
      </w:pPr>
    </w:p>
    <w:p w:rsidR="00451162" w:rsidRPr="0074400E" w:rsidRDefault="00D7209E" w:rsidP="006515F2">
      <w:pPr>
        <w:jc w:val="both"/>
        <w:rPr>
          <w:rFonts w:asciiTheme="minorHAnsi" w:eastAsia="Times New Roman" w:hAnsiTheme="minorHAnsi" w:cs="Times New Roman"/>
          <w:color w:val="auto"/>
          <w:sz w:val="24"/>
          <w:szCs w:val="24"/>
        </w:rPr>
      </w:pP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Ассоциация международных фармацевтических производителей (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  <w:lang w:val="en-US"/>
        </w:rPr>
        <w:t>AIPM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) 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выступила с 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инициатив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ой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проведения всестороннего правового анализа </w:t>
      </w:r>
      <w:r w:rsidR="005E7429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положений данной статьи, а 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45116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Институт законодательства</w:t>
      </w:r>
      <w:r w:rsidR="005E7429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и сравнительного правоведения</w:t>
      </w:r>
      <w:r w:rsidR="006D7C3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при Правительстве РФ</w:t>
      </w:r>
      <w:r w:rsidR="00EE624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,</w:t>
      </w:r>
      <w:r w:rsidR="005E7429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EE624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являющийся</w:t>
      </w:r>
      <w:r w:rsidR="005E7429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EE624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многопрофильным центром правовой науки, который осуществляет научно-правовое обеспечение деятельности Правительства Российской Федерации и других высших органов государственной власти, выступил </w:t>
      </w:r>
      <w:r w:rsidR="005E7429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его автором. </w:t>
      </w:r>
    </w:p>
    <w:p w:rsidR="00EE6240" w:rsidRPr="00DD318C" w:rsidRDefault="00EE6240" w:rsidP="006515F2">
      <w:pPr>
        <w:jc w:val="both"/>
        <w:rPr>
          <w:rFonts w:asciiTheme="minorHAnsi" w:eastAsia="Times New Roman" w:hAnsiTheme="minorHAnsi" w:cs="Times New Roman"/>
          <w:color w:val="auto"/>
          <w:sz w:val="12"/>
          <w:szCs w:val="12"/>
        </w:rPr>
      </w:pPr>
    </w:p>
    <w:p w:rsidR="0074400E" w:rsidRPr="0074400E" w:rsidRDefault="003719E9" w:rsidP="006515F2">
      <w:pPr>
        <w:jc w:val="both"/>
        <w:rPr>
          <w:rFonts w:asciiTheme="minorHAnsi" w:eastAsia="Times New Roman" w:hAnsiTheme="minorHAnsi" w:cs="Times New Roman"/>
          <w:color w:val="auto"/>
          <w:sz w:val="24"/>
          <w:szCs w:val="24"/>
        </w:rPr>
      </w:pP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Правовое заключение имеет особую актуальность и принципиальное значение для здравоохранения и общества в целом, так как позволяет </w:t>
      </w:r>
      <w:r w:rsidR="0030549F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определить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правомерные </w:t>
      </w:r>
      <w:r w:rsidR="00756B76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формы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взаимодействия представител</w:t>
      </w:r>
      <w:r w:rsidR="0030549F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ей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фармаце</w:t>
      </w:r>
      <w:r w:rsidR="005F52DD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втических компаний и специалист</w:t>
      </w:r>
      <w:r w:rsidR="0030549F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ов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сферы здравоохранения. </w:t>
      </w:r>
      <w:r w:rsidR="0045116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В частности</w:t>
      </w:r>
      <w:r w:rsidR="00A25F56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, оно</w:t>
      </w:r>
      <w:r w:rsidR="009928EF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756B76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разъясняет форматы</w:t>
      </w:r>
      <w:r w:rsidR="0045116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9D7A64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возможного </w:t>
      </w:r>
      <w:r w:rsidR="0045116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общения между фармацевтическими представителями и сотрудниками ЛПУ, </w:t>
      </w:r>
      <w:r w:rsidR="00486B9C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ограничения, связанные с </w:t>
      </w:r>
      <w:r w:rsidR="0045116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получени</w:t>
      </w:r>
      <w:r w:rsidR="00486B9C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ем</w:t>
      </w:r>
      <w:r w:rsidR="0045116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подарков, использовани</w:t>
      </w:r>
      <w:r w:rsidR="00756B76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е</w:t>
      </w:r>
      <w:r w:rsidR="009928EF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м</w:t>
      </w:r>
      <w:r w:rsidR="00756B76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сувенирной продукции, </w:t>
      </w:r>
      <w:r w:rsidR="0045116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образцов лекарственных средств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и многое другое</w:t>
      </w:r>
      <w:r w:rsidR="0045116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. </w:t>
      </w:r>
    </w:p>
    <w:p w:rsidR="0074400E" w:rsidRPr="0074400E" w:rsidRDefault="0074400E" w:rsidP="006515F2">
      <w:pPr>
        <w:jc w:val="both"/>
        <w:rPr>
          <w:rFonts w:asciiTheme="minorHAnsi" w:eastAsia="Times New Roman" w:hAnsiTheme="minorHAnsi" w:cs="Times New Roman"/>
          <w:color w:val="auto"/>
          <w:sz w:val="12"/>
          <w:szCs w:val="12"/>
        </w:rPr>
      </w:pPr>
    </w:p>
    <w:p w:rsidR="003719E9" w:rsidRPr="0074400E" w:rsidRDefault="00451162" w:rsidP="006515F2">
      <w:pPr>
        <w:jc w:val="both"/>
        <w:rPr>
          <w:rFonts w:asciiTheme="minorHAnsi" w:eastAsia="Times New Roman" w:hAnsiTheme="minorHAnsi" w:cs="Times New Roman"/>
          <w:color w:val="auto"/>
          <w:sz w:val="24"/>
          <w:szCs w:val="24"/>
        </w:rPr>
      </w:pP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Одним из важнейших </w:t>
      </w:r>
      <w:r w:rsidR="009D7A64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направлений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9D7A64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взаимодействия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между фармацевтическими компаниями и медицинским сообществом явля</w:t>
      </w:r>
      <w:r w:rsidR="009D7A64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ю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тся </w:t>
      </w:r>
      <w:r w:rsidR="009D7A64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научные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конференци</w:t>
      </w:r>
      <w:r w:rsidR="009D7A64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и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. 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Подробная правовая оценка позволит выработать практические подходы к 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предоставлению медицинским работникам необходимой информации о лекарственных средствах и 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lastRenderedPageBreak/>
        <w:t xml:space="preserve">методах лечения, в том числе посредством 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проведени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я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национальных 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и 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международных научных мероприяти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й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. Это значит, что российские медицинские работники наравне со своими коллегами со всего мира будут 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иметь доступ к 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самы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м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современны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м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научны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м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разработк</w:t>
      </w:r>
      <w:r w:rsidR="006D1A51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а</w:t>
      </w:r>
      <w:r w:rsidR="00FF6F92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м</w:t>
      </w:r>
      <w:r w:rsidR="0044442E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, которые потом будут применятьс</w:t>
      </w:r>
      <w:r w:rsidR="009928EF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я в практике российских врачей.</w:t>
      </w:r>
    </w:p>
    <w:p w:rsidR="0030549F" w:rsidRPr="00DD318C" w:rsidRDefault="0030549F" w:rsidP="0030549F">
      <w:pPr>
        <w:jc w:val="both"/>
        <w:rPr>
          <w:rFonts w:asciiTheme="minorHAnsi" w:eastAsia="Times New Roman" w:hAnsiTheme="minorHAnsi" w:cs="Times New Roman"/>
          <w:b/>
          <w:iCs/>
          <w:color w:val="auto"/>
          <w:sz w:val="12"/>
          <w:szCs w:val="12"/>
        </w:rPr>
      </w:pPr>
    </w:p>
    <w:p w:rsidR="0030549F" w:rsidRPr="0074400E" w:rsidRDefault="00E85D20" w:rsidP="0030549F">
      <w:pPr>
        <w:jc w:val="both"/>
        <w:rPr>
          <w:rFonts w:asciiTheme="minorHAnsi" w:eastAsia="Times New Roman" w:hAnsiTheme="minorHAnsi" w:cs="Times New Roman"/>
          <w:i/>
          <w:color w:val="auto"/>
          <w:sz w:val="24"/>
          <w:szCs w:val="24"/>
        </w:rPr>
      </w:pPr>
      <w:r w:rsidRPr="0074400E">
        <w:rPr>
          <w:rFonts w:asciiTheme="minorHAnsi" w:eastAsia="Times New Roman" w:hAnsiTheme="minorHAnsi" w:cs="Times New Roman"/>
          <w:b/>
          <w:iCs/>
          <w:color w:val="auto"/>
          <w:sz w:val="24"/>
          <w:szCs w:val="24"/>
        </w:rPr>
        <w:t>Талия Ярулловна Хабриева</w:t>
      </w:r>
      <w:r w:rsidRPr="0074400E">
        <w:rPr>
          <w:rFonts w:asciiTheme="minorHAnsi" w:eastAsia="Times New Roman" w:hAnsiTheme="minorHAnsi" w:cs="Times New Roman"/>
          <w:i/>
          <w:iCs/>
          <w:color w:val="auto"/>
          <w:sz w:val="24"/>
          <w:szCs w:val="24"/>
        </w:rPr>
        <w:t xml:space="preserve">, </w:t>
      </w:r>
      <w:r w:rsidRPr="0074400E">
        <w:rPr>
          <w:rFonts w:asciiTheme="minorHAnsi" w:eastAsia="Times New Roman" w:hAnsiTheme="minorHAnsi" w:cs="Times New Roman"/>
          <w:iCs/>
          <w:color w:val="auto"/>
          <w:sz w:val="24"/>
          <w:szCs w:val="24"/>
        </w:rPr>
        <w:t>ди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ректор Института законодательства и сравнительного правоведения при Правительстве РФ:</w:t>
      </w:r>
      <w:r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 </w:t>
      </w:r>
      <w:r w:rsidR="0030549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«Одной из основных задач Института законодательства и сравнительного правоведения при Правительстве Российской Федерации является постоянный мониторинг законодательного регулирования отношений в экономической и социальной сферах. Надеюсь, что представленный комментарий одной из законодательных новелл правового регулирования в сфере охраны здоровья граждан поможет выявить смысл правовой нормы, заложенной законодателем, и определить  правильное соотношение нормативного содержания с текстуальной формой. Это, в свою очередь, даст возможность сориентировать субъектов реализации правовых установлений (фармацевтических и медицинских организаций и работников)  в отношении  ограничений, установленных статьей 74 Федерального закона </w:t>
      </w:r>
      <w:r w:rsidR="006D7C3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от </w:t>
      </w:r>
      <w:r w:rsidR="0030549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21.11.2011 г. № 323-ФЗ «Об основах охраны здоровья граждан в Российской Федерации», гармонизировать правоприменительную практику, определить дальнейшие направления совершенствования законодательства в указанной сфере».</w:t>
      </w:r>
    </w:p>
    <w:p w:rsidR="0030549F" w:rsidRPr="00DD318C" w:rsidRDefault="0030549F" w:rsidP="00E85D20">
      <w:pPr>
        <w:jc w:val="both"/>
        <w:rPr>
          <w:rFonts w:asciiTheme="minorHAnsi" w:eastAsia="Times New Roman" w:hAnsiTheme="minorHAnsi" w:cs="Times New Roman"/>
          <w:color w:val="auto"/>
          <w:sz w:val="12"/>
          <w:szCs w:val="12"/>
        </w:rPr>
      </w:pPr>
    </w:p>
    <w:p w:rsidR="00EE6240" w:rsidRDefault="00D45523" w:rsidP="00EE6240">
      <w:pPr>
        <w:jc w:val="both"/>
        <w:rPr>
          <w:rFonts w:asciiTheme="minorHAnsi" w:eastAsia="Times New Roman" w:hAnsiTheme="minorHAnsi" w:cs="Times New Roman"/>
          <w:i/>
          <w:color w:val="auto"/>
          <w:sz w:val="24"/>
          <w:szCs w:val="24"/>
        </w:rPr>
      </w:pPr>
      <w:r w:rsidRPr="0074400E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Владимир Григорьевич Шипков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, Исполнительный </w:t>
      </w:r>
      <w:r w:rsidR="00534D58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д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иректор </w:t>
      </w:r>
      <w:r w:rsidR="00C3484F" w:rsidRPr="0074400E">
        <w:rPr>
          <w:rFonts w:asciiTheme="minorHAnsi" w:eastAsia="Times New Roman" w:hAnsiTheme="minorHAnsi" w:cs="Times New Roman"/>
          <w:color w:val="auto"/>
          <w:sz w:val="24"/>
          <w:szCs w:val="24"/>
          <w:lang w:val="en-US"/>
        </w:rPr>
        <w:t>AIPM</w:t>
      </w:r>
      <w:r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: </w:t>
      </w:r>
      <w:r w:rsidR="00EE6240" w:rsidRPr="0074400E">
        <w:rPr>
          <w:rFonts w:asciiTheme="minorHAnsi" w:eastAsia="Times New Roman" w:hAnsiTheme="minorHAnsi" w:cs="Times New Roman"/>
          <w:color w:val="auto"/>
          <w:sz w:val="24"/>
          <w:szCs w:val="24"/>
        </w:rPr>
        <w:t>«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Введенные статьей 74 ФЗ "Об основах охраны здоровья гра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ждан в РФ" ограничения являются вполне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 закономерными</w:t>
      </w:r>
      <w:r w:rsidR="006C0FD3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,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 и любая компания, придерживающаяся высоких этических стандартов, безусловно, старалась соблюдать подобные ограничения в соответствии со своими внутренними нормами и до принятия нового закона. В рамках 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нашей Ассоциации соблюдение высоких этических стандартов дополнительно предусмотрено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 Кодекс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ом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 маркетинговой практ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ики AIPM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, 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приверженность которому 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является основополагающим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 принципом и условием членства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. 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П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редставленное правовое заключение имеет </w:t>
      </w:r>
      <w:r w:rsidR="00FF6F92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важное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 значение как для отрасли, так и для здравоохранения в целом</w:t>
      </w:r>
      <w:r w:rsidR="006D7C3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,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 </w:t>
      </w:r>
      <w:r w:rsidR="00FF6F92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ведь 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о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но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, как представляется,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 </w:t>
      </w:r>
      <w:r w:rsidR="00C3484F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позволит 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повысить ответственность всех участн</w:t>
      </w:r>
      <w:r w:rsidR="0074400E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иков правоотношений 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и </w:t>
      </w:r>
      <w:r w:rsidR="0074400E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будет 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в </w:t>
      </w:r>
      <w:r w:rsidR="0074400E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значительной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 xml:space="preserve"> степени способствовать  </w:t>
      </w:r>
      <w:r w:rsidR="0074400E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созданию более цивилизованных условий функционирования фармацевтического рынка Российской Федерации</w:t>
      </w:r>
      <w:r w:rsidR="00EE6240" w:rsidRPr="0074400E">
        <w:rPr>
          <w:rFonts w:asciiTheme="minorHAnsi" w:eastAsia="Times New Roman" w:hAnsiTheme="minorHAnsi" w:cs="Times New Roman"/>
          <w:i/>
          <w:color w:val="auto"/>
          <w:sz w:val="24"/>
          <w:szCs w:val="24"/>
        </w:rPr>
        <w:t>».</w:t>
      </w:r>
    </w:p>
    <w:p w:rsidR="0074400E" w:rsidRPr="0074400E" w:rsidRDefault="0074400E" w:rsidP="00EE6240">
      <w:pPr>
        <w:jc w:val="both"/>
        <w:rPr>
          <w:rFonts w:asciiTheme="minorHAnsi" w:eastAsia="Times New Roman" w:hAnsiTheme="minorHAnsi" w:cs="Times New Roman"/>
          <w:i/>
          <w:color w:val="auto"/>
          <w:sz w:val="24"/>
          <w:szCs w:val="24"/>
        </w:rPr>
      </w:pPr>
    </w:p>
    <w:p w:rsidR="004B66D1" w:rsidRPr="00FF6F92" w:rsidRDefault="004B66D1" w:rsidP="006515F2">
      <w:pPr>
        <w:jc w:val="both"/>
        <w:rPr>
          <w:rFonts w:asciiTheme="minorHAnsi" w:eastAsia="Times New Roman" w:hAnsiTheme="minorHAnsi" w:cs="Times New Roman"/>
          <w:i/>
          <w:color w:val="auto"/>
          <w:sz w:val="12"/>
          <w:szCs w:val="12"/>
        </w:rPr>
      </w:pPr>
    </w:p>
    <w:p w:rsidR="0044442E" w:rsidRPr="00DD318C" w:rsidRDefault="0044442E" w:rsidP="006515F2">
      <w:pPr>
        <w:jc w:val="both"/>
        <w:rPr>
          <w:rFonts w:asciiTheme="minorHAnsi" w:eastAsia="Times New Roman" w:hAnsiTheme="minorHAnsi" w:cs="Times New Roman"/>
          <w:color w:val="auto"/>
          <w:sz w:val="12"/>
          <w:szCs w:val="12"/>
        </w:rPr>
      </w:pPr>
    </w:p>
    <w:p w:rsidR="0030549F" w:rsidRDefault="00A25F56" w:rsidP="0030549F">
      <w:pPr>
        <w:ind w:left="3540" w:firstLine="708"/>
        <w:rPr>
          <w:rFonts w:asciiTheme="minorHAnsi" w:eastAsia="Times New Roman" w:hAnsiTheme="minorHAnsi" w:cs="Times New Roman"/>
          <w:b/>
          <w:bCs/>
          <w:i/>
          <w:color w:val="auto"/>
        </w:rPr>
      </w:pPr>
      <w:r w:rsidRPr="00C550D8">
        <w:rPr>
          <w:rFonts w:asciiTheme="minorHAnsi" w:eastAsia="Times New Roman" w:hAnsiTheme="minorHAnsi" w:cs="Times New Roman"/>
          <w:b/>
          <w:bCs/>
          <w:i/>
          <w:color w:val="auto"/>
        </w:rPr>
        <w:t>*</w:t>
      </w:r>
      <w:r w:rsidR="00C3484F">
        <w:rPr>
          <w:rFonts w:asciiTheme="minorHAnsi" w:eastAsia="Times New Roman" w:hAnsiTheme="minorHAnsi" w:cs="Times New Roman"/>
          <w:b/>
          <w:bCs/>
          <w:i/>
          <w:color w:val="auto"/>
        </w:rPr>
        <w:t xml:space="preserve"> </w:t>
      </w:r>
      <w:r w:rsidRPr="00C550D8">
        <w:rPr>
          <w:rFonts w:asciiTheme="minorHAnsi" w:eastAsia="Times New Roman" w:hAnsiTheme="minorHAnsi" w:cs="Times New Roman"/>
          <w:b/>
          <w:bCs/>
          <w:i/>
          <w:color w:val="auto"/>
        </w:rPr>
        <w:t>**</w:t>
      </w:r>
    </w:p>
    <w:p w:rsidR="0074400E" w:rsidRPr="00C550D8" w:rsidRDefault="0074400E" w:rsidP="0030549F">
      <w:pPr>
        <w:ind w:left="3540" w:firstLine="708"/>
        <w:rPr>
          <w:rFonts w:asciiTheme="minorHAnsi" w:eastAsia="Times New Roman" w:hAnsiTheme="minorHAnsi" w:cs="Times New Roman"/>
          <w:b/>
          <w:bCs/>
          <w:i/>
          <w:color w:val="auto"/>
        </w:rPr>
      </w:pPr>
    </w:p>
    <w:p w:rsidR="003E253C" w:rsidRPr="00DD318C" w:rsidRDefault="003E253C" w:rsidP="006515F2">
      <w:pPr>
        <w:ind w:left="3540" w:firstLine="708"/>
        <w:rPr>
          <w:rFonts w:asciiTheme="minorHAnsi" w:eastAsia="Times New Roman" w:hAnsiTheme="minorHAnsi" w:cs="Times New Roman"/>
          <w:b/>
          <w:bCs/>
          <w:i/>
          <w:color w:val="auto"/>
          <w:sz w:val="12"/>
          <w:szCs w:val="12"/>
        </w:rPr>
      </w:pPr>
    </w:p>
    <w:sectPr w:rsidR="003E253C" w:rsidRPr="00DD318C" w:rsidSect="00FF6F92">
      <w:headerReference w:type="default" r:id="rId7"/>
      <w:footerReference w:type="default" r:id="rId8"/>
      <w:headerReference w:type="first" r:id="rId9"/>
      <w:pgSz w:w="11906" w:h="16838"/>
      <w:pgMar w:top="993" w:right="850" w:bottom="851" w:left="1560" w:header="62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00E" w:rsidRDefault="0074400E" w:rsidP="00DA763D">
      <w:pPr>
        <w:spacing w:line="240" w:lineRule="auto"/>
      </w:pPr>
      <w:r>
        <w:separator/>
      </w:r>
    </w:p>
  </w:endnote>
  <w:endnote w:type="continuationSeparator" w:id="0">
    <w:p w:rsidR="0074400E" w:rsidRDefault="0074400E" w:rsidP="00DA763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73137"/>
      <w:docPartObj>
        <w:docPartGallery w:val="Page Numbers (Bottom of Page)"/>
        <w:docPartUnique/>
      </w:docPartObj>
    </w:sdtPr>
    <w:sdtContent>
      <w:p w:rsidR="0074400E" w:rsidRDefault="0024675F">
        <w:pPr>
          <w:pStyle w:val="a5"/>
          <w:jc w:val="right"/>
        </w:pPr>
        <w:fldSimple w:instr=" PAGE   \* MERGEFORMAT ">
          <w:r w:rsidR="006D7C3E">
            <w:rPr>
              <w:noProof/>
            </w:rPr>
            <w:t>2</w:t>
          </w:r>
        </w:fldSimple>
      </w:p>
    </w:sdtContent>
  </w:sdt>
  <w:p w:rsidR="0074400E" w:rsidRDefault="0074400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00E" w:rsidRDefault="0074400E" w:rsidP="00DA763D">
      <w:pPr>
        <w:spacing w:line="240" w:lineRule="auto"/>
      </w:pPr>
      <w:r>
        <w:separator/>
      </w:r>
    </w:p>
  </w:footnote>
  <w:footnote w:type="continuationSeparator" w:id="0">
    <w:p w:rsidR="0074400E" w:rsidRDefault="0074400E" w:rsidP="00DA763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00E" w:rsidRDefault="0074400E" w:rsidP="009D7A64">
    <w:pPr>
      <w:pStyle w:val="a3"/>
      <w:ind w:left="-284"/>
      <w:jc w:val="center"/>
    </w:pPr>
    <w:r>
      <w:rPr>
        <w:noProof/>
      </w:rPr>
      <w:ptab w:relativeTo="margin" w:alignment="left" w:leader="none"/>
    </w:r>
    <w:r>
      <w:rPr>
        <w:noProof/>
      </w:rPr>
      <w:t xml:space="preserve">                            </w:t>
    </w:r>
    <w:r>
      <w:ptab w:relativeTo="margin" w:alignment="left" w:leader="none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00E" w:rsidRDefault="0074400E" w:rsidP="009D7A64">
    <w:pPr>
      <w:pStyle w:val="a3"/>
      <w:ind w:left="-284"/>
      <w:jc w:val="center"/>
    </w:pPr>
    <w:r>
      <w:rPr>
        <w:noProof/>
      </w:rPr>
      <w:ptab w:relativeTo="margin" w:alignment="left" w:leader="none"/>
    </w:r>
    <w:r w:rsidR="006D7C3E" w:rsidRPr="006D7C3E">
      <w:rPr>
        <w:noProof/>
      </w:rPr>
      <w:drawing>
        <wp:inline distT="0" distB="0" distL="0" distR="0">
          <wp:extent cx="1304925" cy="1304925"/>
          <wp:effectExtent l="19050" t="0" r="9525" b="0"/>
          <wp:docPr id="6" name="Рисунок 4" descr="C:\Users\e.igonina\Desktop\ami_logo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.igonina\Desktop\ami_logo_vert.jpg"/>
                  <pic:cNvPicPr>
                    <a:picLocks noChangeAspect="1" noChangeArrowheads="1"/>
                  </pic:cNvPicPr>
                </pic:nvPicPr>
                <pic:blipFill>
                  <a:blip r:embed="rId1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</w:t>
    </w:r>
    <w:r w:rsidR="006D7C3E" w:rsidRPr="006D7C3E">
      <w:rPr>
        <w:noProof/>
      </w:rPr>
      <w:drawing>
        <wp:inline distT="0" distB="0" distL="0" distR="0">
          <wp:extent cx="1428750" cy="1352550"/>
          <wp:effectExtent l="19050" t="0" r="0" b="0"/>
          <wp:docPr id="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191" cy="13595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 w:rsidR="007D1034" w:rsidRPr="007D1034">
      <w:rPr>
        <w:noProof/>
      </w:rPr>
      <w:drawing>
        <wp:inline distT="0" distB="0" distL="0" distR="0">
          <wp:extent cx="1905000" cy="1053829"/>
          <wp:effectExtent l="19050" t="0" r="0" b="0"/>
          <wp:docPr id="1" name="Рисунок 1" descr="D:\Ирочкина папка\AIPM\logo\Logo_BigSize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Ирочкина папка\AIPM\logo\Logo_BigSize_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971" cy="1056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400E" w:rsidRDefault="0074400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B64992"/>
    <w:rsid w:val="0000107A"/>
    <w:rsid w:val="00011724"/>
    <w:rsid w:val="00044660"/>
    <w:rsid w:val="00061529"/>
    <w:rsid w:val="00064F37"/>
    <w:rsid w:val="000A4A46"/>
    <w:rsid w:val="00101F74"/>
    <w:rsid w:val="00104693"/>
    <w:rsid w:val="00191900"/>
    <w:rsid w:val="00192D49"/>
    <w:rsid w:val="001B30E0"/>
    <w:rsid w:val="0021207D"/>
    <w:rsid w:val="0024675F"/>
    <w:rsid w:val="00282594"/>
    <w:rsid w:val="002A1A73"/>
    <w:rsid w:val="002F5400"/>
    <w:rsid w:val="002F6D4E"/>
    <w:rsid w:val="0030549F"/>
    <w:rsid w:val="0033408F"/>
    <w:rsid w:val="00336A55"/>
    <w:rsid w:val="003719E9"/>
    <w:rsid w:val="0038548E"/>
    <w:rsid w:val="003C4F62"/>
    <w:rsid w:val="003E253C"/>
    <w:rsid w:val="00423835"/>
    <w:rsid w:val="0044442E"/>
    <w:rsid w:val="00451162"/>
    <w:rsid w:val="00463485"/>
    <w:rsid w:val="0046746D"/>
    <w:rsid w:val="00486B9C"/>
    <w:rsid w:val="004B66D1"/>
    <w:rsid w:val="00534D58"/>
    <w:rsid w:val="005A1972"/>
    <w:rsid w:val="005E7429"/>
    <w:rsid w:val="005F500C"/>
    <w:rsid w:val="005F52DD"/>
    <w:rsid w:val="00622DF3"/>
    <w:rsid w:val="00624D5D"/>
    <w:rsid w:val="006515F2"/>
    <w:rsid w:val="00661D5E"/>
    <w:rsid w:val="006743A7"/>
    <w:rsid w:val="006B0FB5"/>
    <w:rsid w:val="006C0FD3"/>
    <w:rsid w:val="006D1A51"/>
    <w:rsid w:val="006D7C3E"/>
    <w:rsid w:val="0074400E"/>
    <w:rsid w:val="00756B76"/>
    <w:rsid w:val="007D1034"/>
    <w:rsid w:val="009140DF"/>
    <w:rsid w:val="00915292"/>
    <w:rsid w:val="00936E1F"/>
    <w:rsid w:val="00940A5E"/>
    <w:rsid w:val="0095372C"/>
    <w:rsid w:val="009928EF"/>
    <w:rsid w:val="009B14D4"/>
    <w:rsid w:val="009B306C"/>
    <w:rsid w:val="009D7A64"/>
    <w:rsid w:val="009F1ED6"/>
    <w:rsid w:val="00A25F56"/>
    <w:rsid w:val="00AD0D19"/>
    <w:rsid w:val="00B64992"/>
    <w:rsid w:val="00BB0865"/>
    <w:rsid w:val="00BC6760"/>
    <w:rsid w:val="00BF1789"/>
    <w:rsid w:val="00BF19AE"/>
    <w:rsid w:val="00BF23A7"/>
    <w:rsid w:val="00C3484F"/>
    <w:rsid w:val="00C53FAF"/>
    <w:rsid w:val="00C550D8"/>
    <w:rsid w:val="00CA578B"/>
    <w:rsid w:val="00CC1A83"/>
    <w:rsid w:val="00D12E25"/>
    <w:rsid w:val="00D2380F"/>
    <w:rsid w:val="00D45523"/>
    <w:rsid w:val="00D552E1"/>
    <w:rsid w:val="00D60A8F"/>
    <w:rsid w:val="00D7209E"/>
    <w:rsid w:val="00DA763D"/>
    <w:rsid w:val="00DB506B"/>
    <w:rsid w:val="00DD318C"/>
    <w:rsid w:val="00E85D20"/>
    <w:rsid w:val="00E9059C"/>
    <w:rsid w:val="00EE6240"/>
    <w:rsid w:val="00F16082"/>
    <w:rsid w:val="00F40FD7"/>
    <w:rsid w:val="00F67BAD"/>
    <w:rsid w:val="00FF3FD4"/>
    <w:rsid w:val="00FF4239"/>
    <w:rsid w:val="00FF6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992"/>
    <w:pPr>
      <w:spacing w:after="0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63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63D"/>
    <w:rPr>
      <w:rFonts w:ascii="Arial" w:eastAsia="Arial" w:hAnsi="Arial" w:cs="Arial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DA763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63D"/>
    <w:rPr>
      <w:rFonts w:ascii="Arial" w:eastAsia="Arial" w:hAnsi="Arial" w:cs="Arial"/>
      <w:color w:val="00000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6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63D"/>
    <w:rPr>
      <w:rFonts w:ascii="Tahoma" w:eastAsia="Arial" w:hAnsi="Tahoma" w:cs="Tahoma"/>
      <w:color w:val="000000"/>
      <w:sz w:val="16"/>
      <w:szCs w:val="16"/>
      <w:lang w:eastAsia="ru-RU"/>
    </w:rPr>
  </w:style>
  <w:style w:type="character" w:styleId="a9">
    <w:name w:val="annotation reference"/>
    <w:basedOn w:val="a0"/>
    <w:uiPriority w:val="99"/>
    <w:semiHidden/>
    <w:unhideWhenUsed/>
    <w:rsid w:val="00A25F5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25F5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25F56"/>
    <w:rPr>
      <w:rFonts w:ascii="Arial" w:eastAsia="Arial" w:hAnsi="Arial" w:cs="Arial"/>
      <w:color w:val="000000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25F5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25F56"/>
    <w:rPr>
      <w:rFonts w:ascii="Arial" w:eastAsia="Arial" w:hAnsi="Arial" w:cs="Arial"/>
      <w:b/>
      <w:bCs/>
      <w:color w:val="000000"/>
      <w:sz w:val="20"/>
      <w:szCs w:val="20"/>
      <w:lang w:eastAsia="ru-RU"/>
    </w:rPr>
  </w:style>
  <w:style w:type="paragraph" w:styleId="ae">
    <w:name w:val="Normal (Web)"/>
    <w:basedOn w:val="a"/>
    <w:uiPriority w:val="99"/>
    <w:unhideWhenUsed/>
    <w:rsid w:val="00E85D2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</w:rPr>
  </w:style>
  <w:style w:type="character" w:styleId="af">
    <w:name w:val="Emphasis"/>
    <w:basedOn w:val="a0"/>
    <w:uiPriority w:val="20"/>
    <w:qFormat/>
    <w:rsid w:val="00E85D20"/>
    <w:rPr>
      <w:i/>
      <w:iCs/>
    </w:rPr>
  </w:style>
  <w:style w:type="table" w:styleId="af0">
    <w:name w:val="Table Grid"/>
    <w:basedOn w:val="a1"/>
    <w:uiPriority w:val="59"/>
    <w:rsid w:val="00C55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C348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992"/>
    <w:pPr>
      <w:spacing w:after="0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63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63D"/>
    <w:rPr>
      <w:rFonts w:ascii="Arial" w:eastAsia="Arial" w:hAnsi="Arial" w:cs="Arial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DA763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63D"/>
    <w:rPr>
      <w:rFonts w:ascii="Arial" w:eastAsia="Arial" w:hAnsi="Arial" w:cs="Arial"/>
      <w:color w:val="00000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6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63D"/>
    <w:rPr>
      <w:rFonts w:ascii="Tahoma" w:eastAsia="Arial" w:hAnsi="Tahoma" w:cs="Tahoma"/>
      <w:color w:val="000000"/>
      <w:sz w:val="16"/>
      <w:szCs w:val="16"/>
      <w:lang w:eastAsia="ru-RU"/>
    </w:rPr>
  </w:style>
  <w:style w:type="character" w:styleId="a9">
    <w:name w:val="annotation reference"/>
    <w:basedOn w:val="a0"/>
    <w:uiPriority w:val="99"/>
    <w:semiHidden/>
    <w:unhideWhenUsed/>
    <w:rsid w:val="00A25F5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25F5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25F56"/>
    <w:rPr>
      <w:rFonts w:ascii="Arial" w:eastAsia="Arial" w:hAnsi="Arial" w:cs="Arial"/>
      <w:color w:val="000000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25F5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25F56"/>
    <w:rPr>
      <w:rFonts w:ascii="Arial" w:eastAsia="Arial" w:hAnsi="Arial" w:cs="Arial"/>
      <w:b/>
      <w:bCs/>
      <w:color w:val="000000"/>
      <w:sz w:val="20"/>
      <w:szCs w:val="20"/>
      <w:lang w:eastAsia="ru-RU"/>
    </w:rPr>
  </w:style>
  <w:style w:type="paragraph" w:styleId="ae">
    <w:name w:val="Normal (Web)"/>
    <w:basedOn w:val="a"/>
    <w:uiPriority w:val="99"/>
    <w:semiHidden/>
    <w:unhideWhenUsed/>
    <w:rsid w:val="00E85D2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</w:rPr>
  </w:style>
  <w:style w:type="character" w:styleId="af">
    <w:name w:val="Emphasis"/>
    <w:basedOn w:val="a0"/>
    <w:uiPriority w:val="20"/>
    <w:qFormat/>
    <w:rsid w:val="00E85D2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1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45024-87C6-4B5D-8471-2873CEAB9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 </cp:lastModifiedBy>
  <cp:revision>3</cp:revision>
  <cp:lastPrinted>2012-04-25T08:41:00Z</cp:lastPrinted>
  <dcterms:created xsi:type="dcterms:W3CDTF">2012-04-26T05:54:00Z</dcterms:created>
  <dcterms:modified xsi:type="dcterms:W3CDTF">2012-04-26T10:42:00Z</dcterms:modified>
</cp:coreProperties>
</file>