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05" w:rsidRPr="001B150F" w:rsidRDefault="00920F05" w:rsidP="00664BAC">
      <w:pPr>
        <w:widowControl w:val="0"/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1B150F">
        <w:rPr>
          <w:rFonts w:ascii="Times New Roman" w:hAnsi="Times New Roman"/>
          <w:b/>
          <w:iCs/>
          <w:color w:val="000000"/>
          <w:spacing w:val="-2"/>
          <w:sz w:val="26"/>
          <w:szCs w:val="26"/>
          <w:shd w:val="clear" w:color="auto" w:fill="FFFFFF"/>
        </w:rPr>
        <w:t>Сведения о ведущей организации по диссертации</w:t>
      </w:r>
    </w:p>
    <w:p w:rsidR="001B150F" w:rsidRPr="001B150F" w:rsidRDefault="001B150F" w:rsidP="00664B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</w:pPr>
      <w:r w:rsidRPr="001B150F">
        <w:rPr>
          <w:rFonts w:ascii="Times New Roman" w:hAnsi="Times New Roman"/>
          <w:b/>
          <w:color w:val="000000"/>
          <w:sz w:val="26"/>
          <w:szCs w:val="26"/>
        </w:rPr>
        <w:t>Борисенко Елены Адольфовны</w:t>
      </w:r>
      <w:r w:rsidRPr="001B150F">
        <w:rPr>
          <w:rFonts w:ascii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1B150F" w:rsidRPr="001B150F" w:rsidRDefault="00920F05" w:rsidP="001B1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150F">
        <w:rPr>
          <w:rFonts w:ascii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на тему «</w:t>
      </w:r>
      <w:r w:rsidR="001B150F" w:rsidRPr="001B150F">
        <w:rPr>
          <w:rFonts w:ascii="Times New Roman" w:hAnsi="Times New Roman"/>
          <w:b/>
          <w:color w:val="000000"/>
          <w:sz w:val="26"/>
          <w:szCs w:val="26"/>
        </w:rPr>
        <w:t>Финансовая надежность кредитных организаций:</w:t>
      </w:r>
    </w:p>
    <w:p w:rsidR="00920F05" w:rsidRPr="001B150F" w:rsidRDefault="001B150F" w:rsidP="001B1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150F">
        <w:rPr>
          <w:rFonts w:ascii="Times New Roman" w:hAnsi="Times New Roman"/>
          <w:b/>
          <w:color w:val="000000"/>
          <w:sz w:val="26"/>
          <w:szCs w:val="26"/>
        </w:rPr>
        <w:t>правовой механизм обеспечения</w:t>
      </w:r>
      <w:r w:rsidR="00920F05" w:rsidRPr="001B150F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20F05" w:rsidRPr="00664BAC" w:rsidRDefault="00920F05" w:rsidP="00664BAC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20F05" w:rsidRPr="00C50AE7" w:rsidTr="001B150F">
        <w:trPr>
          <w:jc w:val="center"/>
        </w:trPr>
        <w:tc>
          <w:tcPr>
            <w:tcW w:w="3369" w:type="dxa"/>
          </w:tcPr>
          <w:p w:rsidR="00920F05" w:rsidRPr="001B150F" w:rsidRDefault="00920F05" w:rsidP="00824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50F">
              <w:rPr>
                <w:rStyle w:val="10"/>
                <w:rFonts w:ascii="Times New Roman" w:hAnsi="Times New Roman"/>
                <w:sz w:val="26"/>
                <w:szCs w:val="26"/>
              </w:rPr>
              <w:t>Наименование ведущей организации</w:t>
            </w:r>
          </w:p>
        </w:tc>
        <w:tc>
          <w:tcPr>
            <w:tcW w:w="6202" w:type="dxa"/>
            <w:vAlign w:val="center"/>
          </w:tcPr>
          <w:p w:rsidR="00920F05" w:rsidRPr="00664BAC" w:rsidRDefault="00920F05" w:rsidP="00824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AC">
              <w:rPr>
                <w:rStyle w:val="10"/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</w:tr>
      <w:tr w:rsidR="00920F05" w:rsidRPr="00C50AE7" w:rsidTr="001B150F">
        <w:trPr>
          <w:jc w:val="center"/>
        </w:trPr>
        <w:tc>
          <w:tcPr>
            <w:tcW w:w="3369" w:type="dxa"/>
          </w:tcPr>
          <w:p w:rsidR="00920F05" w:rsidRPr="001B150F" w:rsidRDefault="00920F05" w:rsidP="00824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50F">
              <w:rPr>
                <w:rStyle w:val="10"/>
                <w:rFonts w:ascii="Times New Roman" w:hAnsi="Times New Roman"/>
                <w:sz w:val="26"/>
                <w:szCs w:val="26"/>
              </w:rPr>
              <w:t>Адреса ведущей организации</w:t>
            </w:r>
          </w:p>
        </w:tc>
        <w:tc>
          <w:tcPr>
            <w:tcW w:w="6202" w:type="dxa"/>
            <w:vAlign w:val="center"/>
          </w:tcPr>
          <w:p w:rsidR="00920F05" w:rsidRPr="00664BAC" w:rsidRDefault="00920F05" w:rsidP="00824C86">
            <w:pPr>
              <w:pStyle w:val="2"/>
              <w:shd w:val="clear" w:color="auto" w:fill="auto"/>
              <w:spacing w:before="0" w:after="0" w:line="250" w:lineRule="exact"/>
              <w:rPr>
                <w:b/>
                <w:color w:val="000000"/>
                <w:spacing w:val="2"/>
                <w:sz w:val="26"/>
                <w:szCs w:val="26"/>
                <w:lang w:eastAsia="en-US"/>
              </w:rPr>
            </w:pPr>
            <w:r w:rsidRPr="00664BAC">
              <w:rPr>
                <w:rStyle w:val="10"/>
                <w:bCs/>
                <w:sz w:val="26"/>
                <w:szCs w:val="26"/>
                <w:lang w:eastAsia="en-US"/>
              </w:rPr>
              <w:t>410056, Саратовская обл., г. Саратов, ул</w:t>
            </w:r>
            <w:r w:rsidR="00824C86">
              <w:rPr>
                <w:rStyle w:val="10"/>
                <w:bCs/>
                <w:sz w:val="26"/>
                <w:szCs w:val="26"/>
                <w:lang w:eastAsia="en-US"/>
              </w:rPr>
              <w:t>.</w:t>
            </w:r>
            <w:r w:rsidRPr="00664BAC">
              <w:rPr>
                <w:rStyle w:val="10"/>
                <w:bCs/>
                <w:sz w:val="26"/>
                <w:szCs w:val="26"/>
                <w:lang w:eastAsia="en-US"/>
              </w:rPr>
              <w:t>Вольская, дом 1</w:t>
            </w:r>
          </w:p>
        </w:tc>
      </w:tr>
      <w:tr w:rsidR="00920F05" w:rsidRPr="00C50AE7" w:rsidTr="001B150F">
        <w:trPr>
          <w:jc w:val="center"/>
        </w:trPr>
        <w:tc>
          <w:tcPr>
            <w:tcW w:w="3369" w:type="dxa"/>
          </w:tcPr>
          <w:p w:rsidR="00920F05" w:rsidRPr="001B150F" w:rsidRDefault="00920F05" w:rsidP="00824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50F">
              <w:rPr>
                <w:rStyle w:val="10"/>
                <w:rFonts w:ascii="Times New Roman" w:hAnsi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6202" w:type="dxa"/>
            <w:vAlign w:val="center"/>
          </w:tcPr>
          <w:p w:rsidR="00920F05" w:rsidRPr="00664BAC" w:rsidRDefault="00920F05" w:rsidP="00824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AC">
              <w:rPr>
                <w:rStyle w:val="10"/>
                <w:rFonts w:ascii="Times New Roman" w:hAnsi="Times New Roman"/>
                <w:sz w:val="26"/>
                <w:szCs w:val="26"/>
              </w:rPr>
              <w:t>+7 (8452) 299-202</w:t>
            </w:r>
          </w:p>
        </w:tc>
      </w:tr>
      <w:tr w:rsidR="00920F05" w:rsidRPr="00C50AE7" w:rsidTr="001B150F">
        <w:trPr>
          <w:trHeight w:val="492"/>
          <w:jc w:val="center"/>
        </w:trPr>
        <w:tc>
          <w:tcPr>
            <w:tcW w:w="3369" w:type="dxa"/>
          </w:tcPr>
          <w:p w:rsidR="00920F05" w:rsidRPr="001B150F" w:rsidRDefault="00920F05" w:rsidP="00824C86">
            <w:pPr>
              <w:widowControl w:val="0"/>
              <w:spacing w:after="0" w:line="269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1B150F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Сайт организации, </w:t>
            </w:r>
            <w:r w:rsidRPr="001B150F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  <w:lang w:val="en-US"/>
              </w:rPr>
              <w:t>e</w:t>
            </w:r>
            <w:r w:rsidRPr="001B150F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</w:t>
            </w:r>
            <w:r w:rsidRPr="001B150F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  <w:lang w:val="en-US"/>
              </w:rPr>
              <w:t>mail</w:t>
            </w:r>
          </w:p>
        </w:tc>
        <w:tc>
          <w:tcPr>
            <w:tcW w:w="6202" w:type="dxa"/>
            <w:vAlign w:val="center"/>
          </w:tcPr>
          <w:p w:rsidR="00920F05" w:rsidRPr="00664BAC" w:rsidRDefault="00920F05" w:rsidP="00824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AC">
              <w:rPr>
                <w:rStyle w:val="10"/>
                <w:rFonts w:ascii="Times New Roman" w:hAnsi="Times New Roman"/>
                <w:bCs/>
                <w:sz w:val="26"/>
                <w:szCs w:val="26"/>
              </w:rPr>
              <w:t>сгюа.рф</w:t>
            </w:r>
            <w:r w:rsidR="008F7A97">
              <w:rPr>
                <w:rStyle w:val="10"/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664BAC">
              <w:rPr>
                <w:rStyle w:val="10"/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hyperlink r:id="rId8" w:history="1">
              <w:r w:rsidR="00824C86" w:rsidRPr="00B84FEE">
                <w:rPr>
                  <w:rStyle w:val="a4"/>
                  <w:rFonts w:ascii="Times New Roman" w:hAnsi="Times New Roman"/>
                  <w:spacing w:val="2"/>
                  <w:sz w:val="26"/>
                  <w:szCs w:val="26"/>
                  <w:lang w:val="en-US"/>
                </w:rPr>
                <w:t>post</w:t>
              </w:r>
              <w:r w:rsidR="00824C86" w:rsidRPr="00B84FEE">
                <w:rPr>
                  <w:rStyle w:val="a4"/>
                  <w:rFonts w:ascii="Times New Roman" w:hAnsi="Times New Roman"/>
                  <w:spacing w:val="2"/>
                  <w:sz w:val="26"/>
                  <w:szCs w:val="26"/>
                </w:rPr>
                <w:t>@</w:t>
              </w:r>
              <w:r w:rsidR="00824C86" w:rsidRPr="00B84FEE">
                <w:rPr>
                  <w:rStyle w:val="a4"/>
                  <w:rFonts w:ascii="Times New Roman" w:hAnsi="Times New Roman"/>
                  <w:spacing w:val="2"/>
                  <w:sz w:val="26"/>
                  <w:szCs w:val="26"/>
                  <w:lang w:val="en-US"/>
                </w:rPr>
                <w:t>ssla</w:t>
              </w:r>
              <w:r w:rsidR="00824C86" w:rsidRPr="00B84FEE">
                <w:rPr>
                  <w:rStyle w:val="a4"/>
                  <w:rFonts w:ascii="Times New Roman" w:hAnsi="Times New Roman"/>
                  <w:spacing w:val="2"/>
                  <w:sz w:val="26"/>
                  <w:szCs w:val="26"/>
                </w:rPr>
                <w:t>.ru</w:t>
              </w:r>
            </w:hyperlink>
          </w:p>
        </w:tc>
      </w:tr>
      <w:tr w:rsidR="00920F05" w:rsidRPr="00C50AE7" w:rsidTr="001B150F">
        <w:trPr>
          <w:jc w:val="center"/>
        </w:trPr>
        <w:tc>
          <w:tcPr>
            <w:tcW w:w="3369" w:type="dxa"/>
          </w:tcPr>
          <w:p w:rsidR="00920F05" w:rsidRPr="001B150F" w:rsidRDefault="00920F05" w:rsidP="00713FA9">
            <w:pPr>
              <w:widowControl w:val="0"/>
              <w:spacing w:after="0" w:line="269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1B150F">
              <w:rPr>
                <w:rStyle w:val="10"/>
                <w:rFonts w:ascii="Times New Roman" w:hAnsi="Times New Roman"/>
                <w:sz w:val="26"/>
                <w:szCs w:val="26"/>
              </w:rPr>
              <w:t>Список публикаций работников по теме диссертации в рецензируемых изданиях за последние 5 лет</w:t>
            </w:r>
          </w:p>
        </w:tc>
        <w:tc>
          <w:tcPr>
            <w:tcW w:w="6202" w:type="dxa"/>
          </w:tcPr>
          <w:p w:rsidR="009963DF" w:rsidRPr="00050E0C" w:rsidRDefault="003944C6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>Покачалова Е.В. Принципы финансового и банковского права как основной вектор развития банковской деятельности в Российской Федерации // Доступность банковских и иных финансовых услуг как правовой принцип эффективного функционирования публичных и частных финансов: сборник научных трудов по материалам международной научно-практической конференции (1 июня 2017 г., Саратов). – Саратов: СГЮА, 2019. С.125-135.</w:t>
            </w:r>
          </w:p>
          <w:p w:rsidR="009963DF" w:rsidRPr="00050E0C" w:rsidRDefault="009963DF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Покачалова Е.В. Правосубъектность участников финансовых отношений: модернизация последних лет и перспективы правового регулирования (постановка научных проблем на примере публичных кредитно-долговых и банковских отношений) // </w:t>
            </w:r>
            <w:r w:rsidRPr="00050E0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Правосубъектность участников финансовых правоотношений и ее трансформация в условиях цифровой экономики </w:t>
            </w:r>
            <w:r w:rsidRPr="00050E0C">
              <w:rPr>
                <w:rFonts w:ascii="Times New Roman" w:eastAsiaTheme="minorHAnsi" w:hAnsi="Times New Roman"/>
                <w:sz w:val="24"/>
                <w:szCs w:val="24"/>
              </w:rPr>
              <w:t>: сборник по материалам VI Саратовских финансово-правовых чтений научной школы имени Н.И. Химичевой – Международной научно-практической конференции в рамках Саратовского международного юридического форума, посвященного 90-летнему юбилею Саратовской государственной юридической академии (9 июня 2021 г., Саратов) / [под ред. Е. В. Покачаловой] ; Саратовская государственная юридическая академия. – Саратов : Изд-во Сарат. гос. юрид. акад., 2022.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  С.132-135.</w:t>
            </w:r>
          </w:p>
          <w:p w:rsidR="009963DF" w:rsidRPr="00050E0C" w:rsidRDefault="009963DF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>Пастушенко Е.Н. Формирование доверительной среды на финансовом рынке как актуальное направление финансово-правовой политики в условиях цифровой экономики // Вестник Университета имени О.Е. Кутафина (МГЮА). 2020. № 9. С. 148-153.</w:t>
            </w:r>
          </w:p>
          <w:p w:rsidR="00DA4E01" w:rsidRPr="00050E0C" w:rsidRDefault="009963DF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Е.Н., Земцова Л.Н. </w:t>
            </w:r>
            <w:r w:rsidR="00FD6CEB" w:rsidRPr="00050E0C">
              <w:rPr>
                <w:rFonts w:ascii="Times New Roman" w:hAnsi="Times New Roman"/>
                <w:sz w:val="24"/>
                <w:szCs w:val="24"/>
              </w:rPr>
              <w:t xml:space="preserve">Новеллы правового регулирования развития защиты прав потребителей финансовых услуг как функции Центрального банка Российской Федерации в условиях цифровой экономики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// Вестник Саратовской государственной юридической </w:t>
            </w:r>
            <w:r w:rsidR="00DA4E01" w:rsidRPr="00050E0C">
              <w:rPr>
                <w:rFonts w:ascii="Times New Roman" w:hAnsi="Times New Roman"/>
                <w:sz w:val="24"/>
                <w:szCs w:val="24"/>
              </w:rPr>
              <w:t>академии. 2020. № 5. С. 228-234.</w:t>
            </w:r>
          </w:p>
          <w:p w:rsidR="00DA4E01" w:rsidRPr="00050E0C" w:rsidRDefault="00DA4E01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Покачалова Е.В., Пастушенко Е.Н., Садчиков М.Н. </w:t>
            </w:r>
            <w:r w:rsidRPr="00050E0C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lastRenderedPageBreak/>
              <w:t>Допустимые ограничения банковской тайны для целей налогового контроля в правовой системе Российской Федерации (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Permissible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Restrictions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Secrecy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Purposes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Legal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Federation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) //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Financial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Law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Review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Issue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23 (2021), </w:t>
            </w:r>
            <w:r w:rsidRPr="00050E0C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. 19-28.</w:t>
            </w:r>
          </w:p>
          <w:p w:rsidR="009963DF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 Вопросы совершенствования правотворческой и правоприменительной деятельности Банка России // 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Развитие научных идей профессора Н.И.Химичевой в современной доктрине финансового права: Сборник научных трудов по материалам международной научно-практической конференции в рамках </w:t>
            </w:r>
            <w:r w:rsidR="00050E0C" w:rsidRPr="00050E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 Саратовских финансово-правовых чтений научной школы Н.И.Химичевой, посвященные 90-летию со дня рождения Нины Ивановны (Саратов, 2 октября 2018 г.). – Саратов, 2020.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С. 163-168.</w:t>
            </w:r>
          </w:p>
          <w:p w:rsidR="00D73798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Е.Н., Грицаенко Д.О. Актуальные вопросы защиты прав вкладчиков банков (финансово-правовые вопросы) // 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Развитие научных идей профессора Н.И.Химичевой в современной доктрине финансового права: Сборник научных трудов по материалам международной научно-практической конференции в рамках </w:t>
            </w:r>
            <w:r w:rsidR="00050E0C" w:rsidRPr="00050E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 Саратовских финансово-правовых чтений научной школы Н.И.Химичевой, посвященные 90-летию со дня рождения Нины Ивановны (Саратов, 2 октября 2018 г.). – Саратов, 2020. 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С. 169-173.</w:t>
            </w:r>
          </w:p>
          <w:p w:rsidR="00D73798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Е.Н., Земцова Л.Н. </w:t>
            </w:r>
            <w:r w:rsidR="00DA4E01" w:rsidRPr="00050E0C">
              <w:rPr>
                <w:rFonts w:ascii="Times New Roman" w:hAnsi="Times New Roman"/>
                <w:sz w:val="24"/>
                <w:szCs w:val="24"/>
              </w:rPr>
              <w:t xml:space="preserve">Развитие нормотворческой функции Центрального банка Российской Федерации в условиях цифровой экономики: публично-правовые и частно-правовые аспекты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// Право и современная экономика: новые вызовы и перспективы. Сборник материалов III научно-практической конференции с международным участием юридического факультета СПбГЭУ. ,: 2020. С. 376-381.</w:t>
            </w:r>
          </w:p>
          <w:p w:rsidR="00D73798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Покачалова А.С. Публичные и частные аспекты банкострахования // 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Развитие научных идей профессора Н.И.Химичевой в современной доктрине финансового права: Сборник научных трудов по материалам международной научно-практической конференции в рамках </w:t>
            </w:r>
            <w:r w:rsidR="00050E0C" w:rsidRPr="00050E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 Саратовских финансово-правовых чтений научной школы Н.И.Химичевой, посвященные 90-летию со дня рождения Нины Ивановны (Саратов, 2 октября 2018 г.). – Саратов, 2020.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С. 188-191.</w:t>
            </w:r>
          </w:p>
          <w:p w:rsidR="008F7A97" w:rsidRPr="00050E0C" w:rsidRDefault="00DA4E01" w:rsidP="00050E0C">
            <w:pPr>
              <w:pStyle w:val="a9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 Роль Центрального банка Российской Федерации в обеспечении финансовой безопасности банковской деятельности (финансово-правовые аспекты) // </w:t>
            </w:r>
            <w:r w:rsidRPr="00050E0C">
              <w:rPr>
                <w:rFonts w:ascii="Times New Roman" w:hAnsi="Times New Roman"/>
                <w:bCs/>
                <w:sz w:val="24"/>
                <w:szCs w:val="24"/>
              </w:rPr>
              <w:t>Безопасность в бюджетно-налоговой, таможенной и иных сферах финансовой деятельности: экономические и правовые проблемы: сборник научных трудов / кол.авторов. М.: РУСАЙНС, 2019. 241-246.</w:t>
            </w:r>
          </w:p>
          <w:p w:rsidR="00DA4E01" w:rsidRPr="00050E0C" w:rsidRDefault="00DA4E01" w:rsidP="00050E0C">
            <w:pPr>
              <w:pStyle w:val="a9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0" w:firstLine="266"/>
              <w:contextualSpacing w:val="0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 Трансформация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правосубъектности Центрального банка Российской Федерации в области правотворчества в отношении обязанностей банков, связанных с осуществлением налогового контроля // 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как вектор трансформации правосубъектности участников налоговых отношений в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России и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рубежом 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: сборник научных трудов по материалам Международной научно-практической конференции в рамках IV Саратовских </w:t>
            </w:r>
            <w:r w:rsidR="00050E0C"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сово-правовых чтений научной школы Н. И. Химичевой (Саратов, 23 мая 2019 г.). Часть I / [под общ. ре</w:t>
            </w:r>
            <w:r w:rsidR="00050E0C"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д. Е. В. Покачаловой, М. Б. Раз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гильдиевой] ; ФГБОУ ВО «Саратовская государственная юридическая академия». – Саратов: Изд-во ФГБОУ ВО «Саратовская государственная юридическая академия», 2019. С.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127-131.</w:t>
            </w:r>
          </w:p>
          <w:p w:rsidR="00DA4E01" w:rsidRPr="00050E0C" w:rsidRDefault="00DA4E01" w:rsidP="00050E0C">
            <w:pPr>
              <w:pStyle w:val="a9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Покачалова Е.В.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Безопасность потребительского кредитования в Российской Федерации: финансово-правовые проблемы страхового обеспечения // </w:t>
            </w:r>
            <w:r w:rsidRPr="00050E0C">
              <w:rPr>
                <w:rFonts w:ascii="Times New Roman" w:hAnsi="Times New Roman"/>
                <w:bCs/>
                <w:sz w:val="24"/>
                <w:szCs w:val="24"/>
              </w:rPr>
              <w:t>Безопасность в бюджетно-налоговой, таможенной и иных сферах финансовой деятельности: экономические и правовые проблемы: сборник научных трудов / кол.авторов. М.: РУСАЙНС, 2019. С. 271-276.</w:t>
            </w:r>
          </w:p>
          <w:p w:rsidR="00DA4E01" w:rsidRPr="00050E0C" w:rsidRDefault="00DA4E01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Покачалова Е.В. </w:t>
            </w:r>
            <w:r w:rsidRPr="00050E0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Оптимизация механизма сдержек и противовесов в практике банков как средство защиты прав налогоплательщиков и способ решения проблем в условиях применения цифровых технологий и коммуникаций // 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как вектор трансформации правосубъектности участников налоговых отношений в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России и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рубежом 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: сборник научных трудов по материалам Международной научно-практической конференции в рамках IV Саратовских финансово-правовых чтений научной школы Н. И. Химичевой (Саратов, 23 мая 2019 г.). Часть I / [под общ. ред. Е. В. Покачаловой, М. Б. Разгильдиевой] ; ФГБОУ ВО «Саратовская государственная юридическая академия». – Саратов: Изд-во ФГБОУ ВО «Саратовская государственная юридическая академия», 2019.</w:t>
            </w:r>
            <w:r w:rsidRPr="00050E0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С.137 – 151. </w:t>
            </w:r>
          </w:p>
          <w:p w:rsidR="008F7A97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Малыхина Е.А. К вопросу о разделении банков на универсальные и базовые // </w:t>
            </w:r>
            <w:r w:rsidR="00DA4E01" w:rsidRPr="00050E0C">
              <w:rPr>
                <w:rFonts w:ascii="Times New Roman" w:hAnsi="Times New Roman"/>
                <w:sz w:val="24"/>
                <w:szCs w:val="24"/>
              </w:rPr>
              <w:t xml:space="preserve">Доступность банковских и иных финансовых услуг как правовой принцип эффективного функционирования публичных и частных финансов: сборник научных трудов по материалам международной научно-практической конференции (1 июня 2017 г., Саратов). – Саратов: СГЮА, 2019. </w:t>
            </w:r>
            <w:r w:rsidR="007C3249" w:rsidRPr="00050E0C">
              <w:rPr>
                <w:rFonts w:ascii="Times New Roman" w:hAnsi="Times New Roman"/>
                <w:sz w:val="24"/>
                <w:szCs w:val="24"/>
              </w:rPr>
              <w:t>С. 86-89</w:t>
            </w:r>
          </w:p>
          <w:p w:rsidR="003944C6" w:rsidRPr="00050E0C" w:rsidRDefault="003944C6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Пастушенко Е.Н., Покачалова Е.В. Защита прав потребительских банковских и страховых услуг // Актуальные вопросы права в банковской сфере: материалы Международного правового банковского форума, 24-25 сентября 2020 года / редколлегия: В.Д. Богатырев, А.Г. Безверхов, А.В. Юдин, С.И. Ашмарина, И.В. Кондрашов, А.Г. Анащенко, Д.В. Гурулев; Самарский университет. – Самара: Издательство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lastRenderedPageBreak/>
              <w:t>Самарского университета, 2020. С. 400-408.</w:t>
            </w:r>
          </w:p>
          <w:p w:rsidR="008F7A97" w:rsidRPr="00050E0C" w:rsidRDefault="009963DF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Быстрова Е.Ф. Актуальные вопросы реализации функции банковского надзора на современном этапе // </w:t>
            </w:r>
            <w:r w:rsidR="00050E0C"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как вектор трансформации правосубъектности участников налоговых отношений в</w:t>
            </w:r>
            <w:r w:rsidR="00050E0C"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="00050E0C"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России и</w:t>
            </w:r>
            <w:r w:rsidR="00050E0C"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="00050E0C"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050E0C"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 </w:t>
            </w:r>
            <w:r w:rsidR="00050E0C" w:rsidRPr="00050E0C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рубежом </w:t>
            </w:r>
            <w:r w:rsidR="00050E0C" w:rsidRPr="00050E0C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: сборник научных трудов по материалам Международной научно-практической конференции в рамках IV Саратовских финансово-правовых чтений научной школы Н. И. Химичевой (Саратов, 23 мая 2019 г.). Часть I / [под общ. ред. Е. В. Покачаловой, М. Б. Разгильдиевой] ; ФГБОУ ВО «Саратовская государственная юридическая академия». – Саратов: Изд-во ФГБОУ ВО «Саратовская государственная юридическая академия», 2019.</w:t>
            </w:r>
            <w:r w:rsidR="00050E0C" w:rsidRPr="00050E0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С. 10-14.</w:t>
            </w:r>
          </w:p>
          <w:p w:rsidR="00D73798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Быстрова Е.Ф. Роль цифровых технологий в организации  надзорной деятельности Банка России  и его территориальных учреждений // </w:t>
            </w:r>
            <w:r w:rsidR="00050E0C" w:rsidRPr="00050E0C">
              <w:rPr>
                <w:rFonts w:ascii="Times New Roman" w:eastAsia="Times New Roman" w:hAnsi="Times New Roman"/>
                <w:sz w:val="24"/>
                <w:szCs w:val="24"/>
              </w:rPr>
              <w:t xml:space="preserve">Модернизация правового регулирования бюджетных отношений в условиях цифровизации экономики: сборник научных трудов по материалам Международной научно-практической конференции в рамках V Саратовских финансово-правовых чтений научной школы имени Н.И. Химичевой (Саратов, 23 июня 2020 г.). Часть I / [под общ. ред. Е.В. Покачаловой, С.В. Рыбаковой] ; ФГБОУ ВО «Саратовская государственная юридическая академия». – Саратов: Изд-во ФГБОУ ВО «Саратовская государственная юридическая академия», 2020.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С. 69-73.</w:t>
            </w:r>
          </w:p>
          <w:p w:rsidR="00D73798" w:rsidRPr="00050E0C" w:rsidRDefault="00D73798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Неверова Н.В. К вопросу об информационной открытости Банка России // 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Развитие научных идей профессора Н.И.Химичевой в современной доктрине финансового права: Сборник научных трудов по материалам международной научно-практической конференции в рамках </w:t>
            </w:r>
            <w:r w:rsidR="00050E0C" w:rsidRPr="00050E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50E0C" w:rsidRPr="00050E0C">
              <w:rPr>
                <w:rFonts w:ascii="Times New Roman" w:hAnsi="Times New Roman"/>
                <w:sz w:val="24"/>
                <w:szCs w:val="24"/>
              </w:rPr>
              <w:t xml:space="preserve"> Саратовских финансово-правовых чтений научной школы Н.И.Химичевой, посвященные 90-летию со дня рождения Нины Ивановны (Саратов, 2 октября 2018 г.). – Саратов, 2020.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С. 160-162.</w:t>
            </w:r>
          </w:p>
          <w:p w:rsidR="008F7A97" w:rsidRPr="00050E0C" w:rsidRDefault="00DA4E01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>Пастушенко Е.</w:t>
            </w:r>
            <w:r w:rsidR="003103F5" w:rsidRPr="00050E0C">
              <w:rPr>
                <w:rFonts w:ascii="Times New Roman" w:hAnsi="Times New Roman"/>
                <w:sz w:val="24"/>
                <w:szCs w:val="24"/>
              </w:rPr>
              <w:t>Н.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>,</w:t>
            </w:r>
            <w:r w:rsidR="003103F5" w:rsidRPr="0005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Земцова </w:t>
            </w:r>
            <w:r w:rsidR="00FD6CEB" w:rsidRPr="00050E0C">
              <w:rPr>
                <w:rFonts w:ascii="Times New Roman" w:hAnsi="Times New Roman"/>
                <w:sz w:val="24"/>
                <w:szCs w:val="24"/>
              </w:rPr>
              <w:t>Л.</w:t>
            </w:r>
            <w:r w:rsidRPr="00050E0C">
              <w:rPr>
                <w:rFonts w:ascii="Times New Roman" w:hAnsi="Times New Roman"/>
                <w:sz w:val="24"/>
                <w:szCs w:val="24"/>
              </w:rPr>
              <w:t xml:space="preserve">Н., Мацюпа </w:t>
            </w:r>
            <w:r w:rsidR="00FD6CEB" w:rsidRPr="00050E0C">
              <w:rPr>
                <w:rFonts w:ascii="Times New Roman" w:hAnsi="Times New Roman"/>
                <w:sz w:val="24"/>
                <w:szCs w:val="24"/>
              </w:rPr>
              <w:t xml:space="preserve">К.В. </w:t>
            </w:r>
            <w:r w:rsidR="003103F5" w:rsidRPr="00050E0C">
              <w:rPr>
                <w:rFonts w:ascii="Times New Roman" w:hAnsi="Times New Roman"/>
                <w:sz w:val="24"/>
                <w:szCs w:val="24"/>
              </w:rPr>
              <w:t>Роль правовых актов Центрального банка Российской Федерации в развитии финансовых технологий  // Право и общество в условиях глобализации: перспективы развития : Сборник научных трудов по материалам Международной научно-практической конференции, Саратов, 12 декабря 2020 года / Под редакцией В.В. Бехер, Н.Н. Лайченковой. – Саратов: Издательство "Саратовский источник", 2021. – С. 279-283.</w:t>
            </w:r>
          </w:p>
          <w:p w:rsidR="00D73798" w:rsidRPr="00050E0C" w:rsidRDefault="00FD6CEB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>Пастушенко</w:t>
            </w:r>
            <w:r w:rsidR="00D73798" w:rsidRPr="00050E0C">
              <w:rPr>
                <w:rFonts w:ascii="Times New Roman" w:hAnsi="Times New Roman"/>
                <w:sz w:val="24"/>
                <w:szCs w:val="24"/>
              </w:rPr>
              <w:t xml:space="preserve"> Е. Н., Малыхина Е. А., Земцова Л. Н. Повышение финансовой грамотности как функция Центрального банка Российской Федерации в условиях цифровой экономики // Вестник Саратовской государственной юридической академии. – 2021. – № 5(142). – С. 227-233.</w:t>
            </w:r>
          </w:p>
          <w:p w:rsidR="008F7A97" w:rsidRPr="00050E0C" w:rsidRDefault="00FD6CEB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>Пастушенко</w:t>
            </w:r>
            <w:r w:rsidR="009D6A36" w:rsidRPr="00050E0C">
              <w:rPr>
                <w:rFonts w:ascii="Times New Roman" w:hAnsi="Times New Roman"/>
                <w:sz w:val="24"/>
                <w:szCs w:val="24"/>
              </w:rPr>
              <w:t xml:space="preserve"> Е.Н. Трансформация правосубъектности Центрального банка Российской Федерации в условиях цифровой экономики: качество правовой среды // Социально-экономическое развитие и качество правовой среды : Сборник докладов VIII Московского юридического форума (XIX Международной научно-практической конференции). В 5-ти частях, Москва, 08–10 апреля 2021 года. – Москва: Московский государственный юридический университет имени О.Е. Кутафина (МГЮА), 2021. – С. 167-170.</w:t>
            </w:r>
          </w:p>
          <w:p w:rsidR="008F7A97" w:rsidRPr="00050E0C" w:rsidRDefault="008F7A97" w:rsidP="00050E0C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0" w:firstLine="2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0C">
              <w:rPr>
                <w:rFonts w:ascii="Times New Roman" w:hAnsi="Times New Roman"/>
                <w:sz w:val="24"/>
                <w:szCs w:val="24"/>
              </w:rPr>
              <w:t>Покачалова Е.В., Гудкова М.В. Денежная система Российской Федерации: цифровые новации и их влияние на правосубъектность участников финансовых отношений // Банковское право. – 2021. – № 1. – С. 26-34. – DOI 10.18572/1812-3945-2021-1-26-34.</w:t>
            </w:r>
          </w:p>
        </w:tc>
      </w:tr>
    </w:tbl>
    <w:p w:rsidR="00920F05" w:rsidRDefault="00920F05" w:rsidP="00762180"/>
    <w:sectPr w:rsidR="00920F05" w:rsidSect="00713FA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C9" w:rsidRDefault="007C57C9" w:rsidP="0071444C">
      <w:pPr>
        <w:spacing w:after="0" w:line="240" w:lineRule="auto"/>
      </w:pPr>
      <w:r>
        <w:separator/>
      </w:r>
    </w:p>
  </w:endnote>
  <w:endnote w:type="continuationSeparator" w:id="0">
    <w:p w:rsidR="007C57C9" w:rsidRDefault="007C57C9" w:rsidP="0071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C9" w:rsidRDefault="007C57C9" w:rsidP="0071444C">
      <w:pPr>
        <w:spacing w:after="0" w:line="240" w:lineRule="auto"/>
      </w:pPr>
      <w:r>
        <w:separator/>
      </w:r>
    </w:p>
  </w:footnote>
  <w:footnote w:type="continuationSeparator" w:id="0">
    <w:p w:rsidR="007C57C9" w:rsidRDefault="007C57C9" w:rsidP="0071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0F"/>
    <w:multiLevelType w:val="hybridMultilevel"/>
    <w:tmpl w:val="4988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5FCF"/>
    <w:multiLevelType w:val="hybridMultilevel"/>
    <w:tmpl w:val="C3BC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737"/>
    <w:multiLevelType w:val="hybridMultilevel"/>
    <w:tmpl w:val="7B389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F0200"/>
    <w:multiLevelType w:val="hybridMultilevel"/>
    <w:tmpl w:val="0EC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6ACF"/>
    <w:multiLevelType w:val="hybridMultilevel"/>
    <w:tmpl w:val="A84C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D4C"/>
    <w:multiLevelType w:val="hybridMultilevel"/>
    <w:tmpl w:val="0EC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42D4"/>
    <w:multiLevelType w:val="hybridMultilevel"/>
    <w:tmpl w:val="16CE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57047"/>
    <w:multiLevelType w:val="hybridMultilevel"/>
    <w:tmpl w:val="F65E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95A83"/>
    <w:multiLevelType w:val="hybridMultilevel"/>
    <w:tmpl w:val="3724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76"/>
    <w:rsid w:val="00050E0C"/>
    <w:rsid w:val="00134C4E"/>
    <w:rsid w:val="00152701"/>
    <w:rsid w:val="001B150F"/>
    <w:rsid w:val="001C3751"/>
    <w:rsid w:val="001D3E1A"/>
    <w:rsid w:val="002E23FC"/>
    <w:rsid w:val="003103F5"/>
    <w:rsid w:val="0035717C"/>
    <w:rsid w:val="003944C6"/>
    <w:rsid w:val="003A490B"/>
    <w:rsid w:val="003D59AA"/>
    <w:rsid w:val="003E0854"/>
    <w:rsid w:val="00430374"/>
    <w:rsid w:val="004704CE"/>
    <w:rsid w:val="0051190E"/>
    <w:rsid w:val="00664BAC"/>
    <w:rsid w:val="00671C0F"/>
    <w:rsid w:val="00671D84"/>
    <w:rsid w:val="006C0AB9"/>
    <w:rsid w:val="00702BB1"/>
    <w:rsid w:val="00713FA9"/>
    <w:rsid w:val="0071444C"/>
    <w:rsid w:val="00762180"/>
    <w:rsid w:val="0078762F"/>
    <w:rsid w:val="00790861"/>
    <w:rsid w:val="00797A64"/>
    <w:rsid w:val="007C3249"/>
    <w:rsid w:val="007C57C9"/>
    <w:rsid w:val="008100A7"/>
    <w:rsid w:val="00824C86"/>
    <w:rsid w:val="00861A59"/>
    <w:rsid w:val="008F7A97"/>
    <w:rsid w:val="00920F05"/>
    <w:rsid w:val="009963DF"/>
    <w:rsid w:val="009D6A36"/>
    <w:rsid w:val="009E09F2"/>
    <w:rsid w:val="009E272A"/>
    <w:rsid w:val="00A44A19"/>
    <w:rsid w:val="00AB6865"/>
    <w:rsid w:val="00AB7870"/>
    <w:rsid w:val="00AC0F21"/>
    <w:rsid w:val="00BC0013"/>
    <w:rsid w:val="00C50AE7"/>
    <w:rsid w:val="00C71C9D"/>
    <w:rsid w:val="00CE6064"/>
    <w:rsid w:val="00D4011A"/>
    <w:rsid w:val="00D73798"/>
    <w:rsid w:val="00D86859"/>
    <w:rsid w:val="00DA4E01"/>
    <w:rsid w:val="00DF3B4C"/>
    <w:rsid w:val="00E51136"/>
    <w:rsid w:val="00E81D76"/>
    <w:rsid w:val="00E82E33"/>
    <w:rsid w:val="00F07582"/>
    <w:rsid w:val="00F24B07"/>
    <w:rsid w:val="00FA1727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2"/>
    <w:uiPriority w:val="99"/>
    <w:rsid w:val="00E81D76"/>
    <w:rPr>
      <w:color w:val="000000"/>
      <w:spacing w:val="2"/>
      <w:w w:val="100"/>
      <w:position w:val="0"/>
      <w:sz w:val="21"/>
      <w:shd w:val="clear" w:color="auto" w:fill="FFFFFF"/>
      <w:lang w:val="ru-RU"/>
    </w:rPr>
  </w:style>
  <w:style w:type="character" w:styleId="a4">
    <w:name w:val="Hyperlink"/>
    <w:basedOn w:val="a0"/>
    <w:uiPriority w:val="99"/>
    <w:rsid w:val="00E81D76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E81D76"/>
    <w:pPr>
      <w:widowControl w:val="0"/>
      <w:shd w:val="clear" w:color="auto" w:fill="FFFFFF"/>
      <w:spacing w:before="300" w:after="420" w:line="240" w:lineRule="atLeast"/>
    </w:pPr>
    <w:rPr>
      <w:rFonts w:ascii="Times New Roman" w:eastAsia="Times New Roman" w:hAnsi="Times New Roman"/>
      <w:spacing w:val="3"/>
      <w:sz w:val="25"/>
      <w:szCs w:val="25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714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444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14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4C"/>
    <w:rPr>
      <w:lang w:eastAsia="en-US"/>
    </w:rPr>
  </w:style>
  <w:style w:type="paragraph" w:styleId="a9">
    <w:name w:val="List Paragraph"/>
    <w:basedOn w:val="a"/>
    <w:uiPriority w:val="34"/>
    <w:qFormat/>
    <w:rsid w:val="00AB6865"/>
    <w:pPr>
      <w:ind w:left="720"/>
      <w:contextualSpacing/>
    </w:pPr>
  </w:style>
  <w:style w:type="paragraph" w:customStyle="1" w:styleId="bigtext">
    <w:name w:val="bigtext"/>
    <w:basedOn w:val="a"/>
    <w:rsid w:val="0099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C3249"/>
  </w:style>
  <w:style w:type="character" w:customStyle="1" w:styleId="A40">
    <w:name w:val="A4"/>
    <w:uiPriority w:val="99"/>
    <w:rsid w:val="00DA4E01"/>
    <w:rPr>
      <w:rFonts w:cs="Cambri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2"/>
    <w:uiPriority w:val="99"/>
    <w:rsid w:val="00E81D76"/>
    <w:rPr>
      <w:color w:val="000000"/>
      <w:spacing w:val="2"/>
      <w:w w:val="100"/>
      <w:position w:val="0"/>
      <w:sz w:val="21"/>
      <w:shd w:val="clear" w:color="auto" w:fill="FFFFFF"/>
      <w:lang w:val="ru-RU"/>
    </w:rPr>
  </w:style>
  <w:style w:type="character" w:styleId="a4">
    <w:name w:val="Hyperlink"/>
    <w:basedOn w:val="a0"/>
    <w:uiPriority w:val="99"/>
    <w:rsid w:val="00E81D76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E81D76"/>
    <w:pPr>
      <w:widowControl w:val="0"/>
      <w:shd w:val="clear" w:color="auto" w:fill="FFFFFF"/>
      <w:spacing w:before="300" w:after="420" w:line="240" w:lineRule="atLeast"/>
    </w:pPr>
    <w:rPr>
      <w:rFonts w:ascii="Times New Roman" w:eastAsia="Times New Roman" w:hAnsi="Times New Roman"/>
      <w:spacing w:val="3"/>
      <w:sz w:val="25"/>
      <w:szCs w:val="25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714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444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14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4C"/>
    <w:rPr>
      <w:lang w:eastAsia="en-US"/>
    </w:rPr>
  </w:style>
  <w:style w:type="paragraph" w:styleId="a9">
    <w:name w:val="List Paragraph"/>
    <w:basedOn w:val="a"/>
    <w:uiPriority w:val="34"/>
    <w:qFormat/>
    <w:rsid w:val="00AB6865"/>
    <w:pPr>
      <w:ind w:left="720"/>
      <w:contextualSpacing/>
    </w:pPr>
  </w:style>
  <w:style w:type="paragraph" w:customStyle="1" w:styleId="bigtext">
    <w:name w:val="bigtext"/>
    <w:basedOn w:val="a"/>
    <w:rsid w:val="0099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C3249"/>
  </w:style>
  <w:style w:type="character" w:customStyle="1" w:styleId="A40">
    <w:name w:val="A4"/>
    <w:uiPriority w:val="99"/>
    <w:rsid w:val="00DA4E01"/>
    <w:rPr>
      <w:rFonts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sl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 по диссертации</vt:lpstr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 по диссертации</dc:title>
  <dc:creator>Тимофей</dc:creator>
  <cp:lastModifiedBy>отд. финансового зак-ва 7</cp:lastModifiedBy>
  <cp:revision>2</cp:revision>
  <dcterms:created xsi:type="dcterms:W3CDTF">2022-06-14T08:17:00Z</dcterms:created>
  <dcterms:modified xsi:type="dcterms:W3CDTF">2022-06-14T08:17:00Z</dcterms:modified>
</cp:coreProperties>
</file>