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6" w:rsidRPr="0031129A" w:rsidRDefault="00C41BF6" w:rsidP="00C41BF6">
      <w:pPr>
        <w:rPr>
          <w:rFonts w:ascii="Times New Roman" w:hAnsi="Times New Roman" w:cs="Times New Roman"/>
          <w:b/>
          <w:sz w:val="28"/>
          <w:szCs w:val="28"/>
        </w:rPr>
      </w:pPr>
      <w:r w:rsidRPr="0031129A">
        <w:rPr>
          <w:rFonts w:ascii="Times New Roman" w:hAnsi="Times New Roman" w:cs="Times New Roman"/>
          <w:b/>
          <w:sz w:val="28"/>
          <w:szCs w:val="28"/>
        </w:rPr>
        <w:t xml:space="preserve">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05BFC" w:rsidRPr="00A3246E" w:rsidTr="00316AD7">
        <w:trPr>
          <w:trHeight w:val="890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C05BFC" w:rsidRPr="00A3246E" w:rsidRDefault="00C05BFC" w:rsidP="00B61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737">
              <w:rPr>
                <w:rFonts w:ascii="Times New Roman" w:hAnsi="Times New Roman" w:cs="Times New Roman"/>
                <w:sz w:val="26"/>
                <w:szCs w:val="26"/>
              </w:rPr>
              <w:t>Отдел законодательства о труде и социальном обеспечении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883A38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A38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C05BFC" w:rsidRPr="00883A38" w:rsidRDefault="00883A38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A38">
              <w:rPr>
                <w:rFonts w:ascii="Times New Roman" w:hAnsi="Times New Roman" w:cs="Times New Roman"/>
                <w:sz w:val="26"/>
                <w:szCs w:val="26"/>
              </w:rPr>
              <w:t>13 сентября</w:t>
            </w:r>
            <w:r w:rsidR="00C05BFC" w:rsidRPr="00883A38">
              <w:rPr>
                <w:rFonts w:ascii="Times New Roman" w:hAnsi="Times New Roman" w:cs="Times New Roman"/>
                <w:sz w:val="26"/>
                <w:szCs w:val="26"/>
              </w:rPr>
              <w:t xml:space="preserve"> 2017 года, город Москва, ул. Большая Черемушкинская, д.34</w:t>
            </w:r>
          </w:p>
        </w:tc>
      </w:tr>
      <w:tr w:rsidR="00C05BFC" w:rsidRPr="00A3246E" w:rsidTr="00316AD7">
        <w:trPr>
          <w:trHeight w:val="890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C05BFC" w:rsidRPr="00A3246E" w:rsidRDefault="00883A38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A38">
              <w:rPr>
                <w:rFonts w:ascii="Times New Roman" w:hAnsi="Times New Roman" w:cs="Times New Roman"/>
                <w:sz w:val="26"/>
                <w:szCs w:val="26"/>
              </w:rPr>
              <w:t>с 13.06.2017 г. по 07.09.2017 г.</w:t>
            </w:r>
          </w:p>
        </w:tc>
      </w:tr>
      <w:tr w:rsidR="00C05BFC" w:rsidRPr="00A3246E" w:rsidTr="00CC08AB">
        <w:trPr>
          <w:trHeight w:val="651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BFC" w:rsidRPr="00A3246E" w:rsidTr="00316AD7">
        <w:trPr>
          <w:trHeight w:val="890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2F3C3A" w:rsidRDefault="00883A38" w:rsidP="00D04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A38">
              <w:rPr>
                <w:rFonts w:ascii="Times New Roman" w:hAnsi="Times New Roman" w:cs="Times New Roman"/>
                <w:sz w:val="26"/>
                <w:szCs w:val="26"/>
              </w:rPr>
              <w:t>Трудовое право;</w:t>
            </w:r>
          </w:p>
          <w:p w:rsidR="00C05BFC" w:rsidRDefault="002F3C3A" w:rsidP="00D04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F3C3A" w:rsidRPr="002F3C3A" w:rsidRDefault="002F3C3A" w:rsidP="002F3C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C3A">
              <w:rPr>
                <w:rFonts w:ascii="Times New Roman" w:hAnsi="Times New Roman" w:cs="Times New Roman"/>
                <w:sz w:val="26"/>
                <w:szCs w:val="26"/>
              </w:rPr>
              <w:t>проблемы правового регулирования рынка труда, правовые проблемы социального партнерства;</w:t>
            </w:r>
          </w:p>
          <w:p w:rsidR="002F3C3A" w:rsidRPr="002F3C3A" w:rsidRDefault="002F3C3A" w:rsidP="002F3C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C3A">
              <w:rPr>
                <w:rFonts w:ascii="Times New Roman" w:hAnsi="Times New Roman" w:cs="Times New Roman"/>
                <w:sz w:val="26"/>
                <w:szCs w:val="26"/>
              </w:rPr>
              <w:t>разработка научных концепций развития трудового законодательства и законодательства о социальном обеспечении;</w:t>
            </w:r>
          </w:p>
          <w:p w:rsidR="002F3C3A" w:rsidRPr="002F3C3A" w:rsidRDefault="002F3C3A" w:rsidP="002F3C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C3A">
              <w:rPr>
                <w:rFonts w:ascii="Times New Roman" w:hAnsi="Times New Roman" w:cs="Times New Roman"/>
                <w:sz w:val="26"/>
                <w:szCs w:val="26"/>
              </w:rPr>
              <w:t>вопросы защиты трудовых прав работников, прав граждан в сфере социального обеспечения;</w:t>
            </w:r>
          </w:p>
          <w:p w:rsidR="002F3C3A" w:rsidRPr="002F3C3A" w:rsidRDefault="002F3C3A" w:rsidP="002F3C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C3A">
              <w:rPr>
                <w:rFonts w:ascii="Times New Roman" w:hAnsi="Times New Roman" w:cs="Times New Roman"/>
                <w:sz w:val="26"/>
                <w:szCs w:val="26"/>
              </w:rPr>
              <w:t>проблемы социального страхования;</w:t>
            </w:r>
          </w:p>
          <w:p w:rsidR="002F3C3A" w:rsidRPr="002F3C3A" w:rsidRDefault="002F3C3A" w:rsidP="002F3C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C3A">
              <w:rPr>
                <w:rFonts w:ascii="Times New Roman" w:hAnsi="Times New Roman" w:cs="Times New Roman"/>
                <w:sz w:val="26"/>
                <w:szCs w:val="26"/>
              </w:rPr>
              <w:t>особенности правового регулирования трудовых отношений отдельных категорий работников, проблемы правового статуса государственных гражданских служащих и других специальных субъектов трудового права;</w:t>
            </w:r>
          </w:p>
          <w:p w:rsidR="002F3C3A" w:rsidRPr="002F3C3A" w:rsidRDefault="002F3C3A" w:rsidP="002F3C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C3A">
              <w:rPr>
                <w:rFonts w:ascii="Times New Roman" w:hAnsi="Times New Roman" w:cs="Times New Roman"/>
                <w:sz w:val="26"/>
                <w:szCs w:val="26"/>
              </w:rPr>
              <w:t>вопросы единства и дифференциации трудового законодательства и законодательства о социальном обеспечении;</w:t>
            </w:r>
          </w:p>
          <w:p w:rsidR="002F3C3A" w:rsidRPr="002F3C3A" w:rsidRDefault="002F3C3A" w:rsidP="002F3C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C3A">
              <w:rPr>
                <w:rFonts w:ascii="Times New Roman" w:hAnsi="Times New Roman" w:cs="Times New Roman"/>
                <w:sz w:val="26"/>
                <w:szCs w:val="26"/>
              </w:rPr>
              <w:t>обобщение и анализ практики применения трудового законодательства и законодательства о социальном обеспечении, в том числе судебной;</w:t>
            </w:r>
          </w:p>
          <w:p w:rsidR="002F3C3A" w:rsidRPr="00A3246E" w:rsidRDefault="002F3C3A" w:rsidP="002F3C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C3A">
              <w:rPr>
                <w:rFonts w:ascii="Times New Roman" w:hAnsi="Times New Roman" w:cs="Times New Roman"/>
                <w:sz w:val="26"/>
                <w:szCs w:val="26"/>
              </w:rPr>
              <w:t>сравнительно-правовые исследования законодательства о труде и социальном обеспечении государств СНГ и Балтии, субъектов Российской Федерации.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(трудовая функция):</w:t>
            </w:r>
          </w:p>
        </w:tc>
        <w:tc>
          <w:tcPr>
            <w:tcW w:w="5174" w:type="dxa"/>
          </w:tcPr>
          <w:p w:rsidR="00C05BFC" w:rsidRPr="00A3246E" w:rsidRDefault="0024590C" w:rsidP="002459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90C">
              <w:rPr>
                <w:rFonts w:ascii="Times New Roman" w:hAnsi="Times New Roman" w:cs="Times New Roman"/>
                <w:sz w:val="26"/>
                <w:szCs w:val="26"/>
              </w:rPr>
              <w:t xml:space="preserve">Проводит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руководителем. Участвует в подготовке заключений. Собирает, обрабатывает, анализирует и обобщает научную информацию, передовой ответственный и зарубежный опыт. Принимает участие в выполнении внеплановых работ по тематике научного отдела. Участвует в составлении планов и методических программ исследований и разработок, практических рекомендаций по использованию их результатов. Составляет отчеты (разделы отчета) по теме или ее разделу (этапу, заданию). Проводит учебные занятия по программам магистратуры. Организовывает самостоятельную работу </w:t>
            </w:r>
            <w:proofErr w:type="gramStart"/>
            <w:r w:rsidRPr="0024590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24590C"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программе магистратуры. Контролирует и оценивает освоение </w:t>
            </w:r>
            <w:proofErr w:type="gramStart"/>
            <w:r w:rsidRPr="0024590C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24590C">
              <w:rPr>
                <w:rFonts w:ascii="Times New Roman" w:hAnsi="Times New Roman" w:cs="Times New Roman"/>
                <w:sz w:val="26"/>
                <w:szCs w:val="26"/>
              </w:rPr>
              <w:t xml:space="preserve"> учебных курсов, дисциплин (модулей) программ магистратуры, в том числе промежуточной аттестации.  Участвует во внедрении результатов исследований и разработок.</w:t>
            </w:r>
            <w:bookmarkStart w:id="0" w:name="_GoBack"/>
            <w:bookmarkEnd w:id="0"/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C05BFC" w:rsidRPr="00A3246E" w:rsidRDefault="00C05BFC" w:rsidP="00316AD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высшее образование</w:t>
            </w:r>
            <w:r w:rsidR="002201CF"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</w:t>
            </w:r>
            <w:proofErr w:type="spellStart"/>
            <w:r w:rsidR="002201CF">
              <w:rPr>
                <w:rFonts w:ascii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 w:rsidR="002201CF">
              <w:rPr>
                <w:rFonts w:ascii="Times New Roman" w:hAnsi="Times New Roman" w:cs="Times New Roman"/>
                <w:sz w:val="26"/>
                <w:szCs w:val="26"/>
              </w:rPr>
              <w:t xml:space="preserve"> или магистратуры)</w:t>
            </w:r>
          </w:p>
          <w:p w:rsidR="00C05BFC" w:rsidRPr="00A3246E" w:rsidRDefault="002201C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научно-педагогической работы не менее 5 лет или при наличии ученой степени кандидата наук без предъявления требований к стажу работы, наличие 3 статей в индексируемых журналах.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Условия:</w:t>
            </w:r>
          </w:p>
        </w:tc>
        <w:tc>
          <w:tcPr>
            <w:tcW w:w="5174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05BFC" w:rsidRPr="00A3246E" w:rsidRDefault="00C05BFC" w:rsidP="00C05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6 1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00 руб. в месяц 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05BFC" w:rsidRPr="00A3246E" w:rsidTr="00CC08AB">
        <w:trPr>
          <w:trHeight w:val="647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C05BFC" w:rsidRPr="00A3246E" w:rsidRDefault="00C05BFC" w:rsidP="00CC0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Социальный пакет:</w:t>
            </w:r>
          </w:p>
        </w:tc>
        <w:tc>
          <w:tcPr>
            <w:tcW w:w="5174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C05BFC" w:rsidRPr="00A3246E" w:rsidTr="00316AD7">
        <w:trPr>
          <w:trHeight w:val="541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05BFC" w:rsidRPr="00A3246E" w:rsidRDefault="00667E73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C05BFC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C05BFC" w:rsidRPr="00A3246E" w:rsidTr="00316AD7">
        <w:trPr>
          <w:trHeight w:val="563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1247DB"/>
    <w:rsid w:val="00175FFC"/>
    <w:rsid w:val="002201CF"/>
    <w:rsid w:val="0024590C"/>
    <w:rsid w:val="002F3C3A"/>
    <w:rsid w:val="003E6E08"/>
    <w:rsid w:val="004B355B"/>
    <w:rsid w:val="00667E73"/>
    <w:rsid w:val="0082089E"/>
    <w:rsid w:val="00883A38"/>
    <w:rsid w:val="008C0BF5"/>
    <w:rsid w:val="00B723A7"/>
    <w:rsid w:val="00C05BFC"/>
    <w:rsid w:val="00C41BF6"/>
    <w:rsid w:val="00CC08AB"/>
    <w:rsid w:val="00E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1</cp:lastModifiedBy>
  <cp:revision>8</cp:revision>
  <dcterms:created xsi:type="dcterms:W3CDTF">2017-06-05T13:01:00Z</dcterms:created>
  <dcterms:modified xsi:type="dcterms:W3CDTF">2017-06-16T08:15:00Z</dcterms:modified>
</cp:coreProperties>
</file>